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D144" w14:textId="77777777" w:rsidR="00FD37F9" w:rsidRPr="00FD37F9" w:rsidRDefault="00FD37F9" w:rsidP="00FD37F9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Baseline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Prompt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QLoRA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与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LoRA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比较</w:t>
      </w:r>
    </w:p>
    <w:p w14:paraId="5ADC0615" w14:textId="290E8BA8" w:rsidR="00FD37F9" w:rsidRDefault="00FD37F9" w:rsidP="00FD37F9">
      <w:pPr>
        <w:jc w:val="both"/>
        <w:rPr>
          <w:rFonts w:hint="eastAsia"/>
          <w:lang w:eastAsia="zh-CN"/>
        </w:rPr>
      </w:pPr>
      <w:r>
        <w:rPr>
          <w:lang w:eastAsia="zh-CN"/>
        </w:rPr>
        <w:t>四种方法使用同一数据</w:t>
      </w:r>
      <w:r>
        <w:rPr>
          <w:rFonts w:hint="eastAsia"/>
          <w:lang w:eastAsia="zh-CN"/>
        </w:rPr>
        <w:t>集</w:t>
      </w:r>
      <w:r>
        <w:rPr>
          <w:lang w:eastAsia="zh-CN"/>
        </w:rPr>
        <w:t>划分和同一评分口径。</w:t>
      </w:r>
      <w:r>
        <w:rPr>
          <w:rFonts w:hint="eastAsia"/>
          <w:lang w:eastAsia="zh-CN"/>
        </w:rPr>
        <w:t>包含</w:t>
      </w:r>
      <w:r>
        <w:rPr>
          <w:rFonts w:hint="eastAsia"/>
          <w:lang w:eastAsia="zh-CN"/>
        </w:rPr>
        <w:t>296</w:t>
      </w:r>
      <w:r>
        <w:rPr>
          <w:rFonts w:hint="eastAsia"/>
          <w:lang w:eastAsia="zh-CN"/>
        </w:rPr>
        <w:t>家公司，共构建了</w:t>
      </w:r>
      <w:r>
        <w:rPr>
          <w:rFonts w:hint="eastAsia"/>
          <w:lang w:eastAsia="zh-CN"/>
        </w:rPr>
        <w:t>1361</w:t>
      </w:r>
      <w:r>
        <w:rPr>
          <w:rFonts w:hint="eastAsia"/>
          <w:lang w:eastAsia="zh-CN"/>
        </w:rPr>
        <w:t>条格式化的样本。</w:t>
      </w:r>
    </w:p>
    <w:p w14:paraId="14181345" w14:textId="1821919E" w:rsidR="00FD37F9" w:rsidRDefault="00FD37F9" w:rsidP="00FD37F9">
      <w:pPr>
        <w:jc w:val="both"/>
        <w:rPr>
          <w:lang w:eastAsia="zh-CN"/>
        </w:rPr>
      </w:pPr>
      <w:r>
        <w:rPr>
          <w:lang w:eastAsia="zh-CN"/>
        </w:rPr>
        <w:t>等级准确率、平衡准确率与</w:t>
      </w:r>
      <w:r>
        <w:rPr>
          <w:lang w:eastAsia="zh-CN"/>
        </w:rPr>
        <w:t>Macro F1</w:t>
      </w:r>
      <w:r>
        <w:rPr>
          <w:lang w:eastAsia="zh-CN"/>
        </w:rPr>
        <w:t>反映分类能力，</w:t>
      </w:r>
      <w:r>
        <w:rPr>
          <w:lang w:eastAsia="zh-CN"/>
        </w:rPr>
        <w:t>MAE</w:t>
      </w:r>
      <w:r>
        <w:rPr>
          <w:lang w:eastAsia="zh-CN"/>
        </w:rPr>
        <w:t>和</w:t>
      </w:r>
      <w:r>
        <w:rPr>
          <w:lang w:eastAsia="zh-CN"/>
        </w:rPr>
        <w:t>RMSE</w:t>
      </w:r>
      <w:r>
        <w:rPr>
          <w:lang w:eastAsia="zh-CN"/>
        </w:rPr>
        <w:t>反映连续</w:t>
      </w:r>
      <w:r>
        <w:rPr>
          <w:lang w:eastAsia="zh-CN"/>
        </w:rPr>
        <w:t>CFHS</w:t>
      </w:r>
      <w:r>
        <w:rPr>
          <w:lang w:eastAsia="zh-CN"/>
        </w:rPr>
        <w:t>分数与目标值之间的偏差。</w:t>
      </w:r>
    </w:p>
    <w:p w14:paraId="17E1938F" w14:textId="6B80E9A2" w:rsidR="00FD37F9" w:rsidRDefault="00FD37F9" w:rsidP="00FD37F9">
      <w:pPr>
        <w:spacing w:before="40" w:after="0"/>
        <w:jc w:val="center"/>
        <w:rPr>
          <w:rFonts w:hint="eastAsia"/>
          <w:lang w:eastAsia="zh-CN"/>
        </w:rPr>
      </w:pPr>
      <w:r>
        <w:rPr>
          <w:noProof/>
        </w:rPr>
        <w:drawing>
          <wp:inline distT="0" distB="0" distL="0" distR="0" wp14:anchorId="3FA458EB" wp14:editId="1EF40385">
            <wp:extent cx="5623560" cy="2569566"/>
            <wp:effectExtent l="0" t="0" r="0" b="0"/>
            <wp:docPr id="2" name="Picture 2" descr="Baseline、Prompt、QLoRA和LoRA的分类指标、MAE与RMSE彩色比较图" title="四种模型分类与分数误差比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s_colo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56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120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150"/>
        <w:gridCol w:w="1450"/>
        <w:gridCol w:w="1450"/>
        <w:gridCol w:w="1350"/>
        <w:gridCol w:w="1230"/>
        <w:gridCol w:w="1230"/>
      </w:tblGrid>
      <w:tr w:rsidR="00FD37F9" w14:paraId="2BE2CC49" w14:textId="77777777" w:rsidTr="00B861FB">
        <w:trPr>
          <w:tblHeader/>
        </w:trPr>
        <w:tc>
          <w:tcPr>
            <w:tcW w:w="1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6946A" w14:textId="77777777" w:rsidR="00FD37F9" w:rsidRDefault="00FD37F9" w:rsidP="00B861FB">
            <w:pPr>
              <w:spacing w:after="0" w:line="252" w:lineRule="auto"/>
              <w:jc w:val="center"/>
            </w:pPr>
            <w:proofErr w:type="spellStart"/>
            <w:r>
              <w:rPr>
                <w:b/>
                <w:sz w:val="16"/>
              </w:rPr>
              <w:t>方法</w:t>
            </w:r>
            <w:proofErr w:type="spellEnd"/>
          </w:p>
        </w:tc>
        <w:tc>
          <w:tcPr>
            <w:tcW w:w="11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87A93" w14:textId="77777777" w:rsidR="00FD37F9" w:rsidRDefault="00FD37F9" w:rsidP="00B861FB">
            <w:pPr>
              <w:spacing w:after="0" w:line="252" w:lineRule="auto"/>
              <w:jc w:val="center"/>
            </w:pPr>
            <w:proofErr w:type="spellStart"/>
            <w:r>
              <w:rPr>
                <w:b/>
                <w:sz w:val="16"/>
              </w:rPr>
              <w:t>解析率</w:t>
            </w:r>
            <w:proofErr w:type="spellEnd"/>
          </w:p>
        </w:tc>
        <w:tc>
          <w:tcPr>
            <w:tcW w:w="14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351F7" w14:textId="77777777" w:rsidR="00FD37F9" w:rsidRDefault="00FD37F9" w:rsidP="00B861FB">
            <w:pPr>
              <w:spacing w:after="0" w:line="252" w:lineRule="auto"/>
              <w:jc w:val="center"/>
            </w:pPr>
            <w:proofErr w:type="spellStart"/>
            <w:r>
              <w:rPr>
                <w:b/>
                <w:sz w:val="16"/>
              </w:rPr>
              <w:t>等级准确率</w:t>
            </w:r>
            <w:proofErr w:type="spellEnd"/>
          </w:p>
        </w:tc>
        <w:tc>
          <w:tcPr>
            <w:tcW w:w="14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C2E3F" w14:textId="77777777" w:rsidR="00FD37F9" w:rsidRDefault="00FD37F9" w:rsidP="00B861FB">
            <w:pPr>
              <w:spacing w:after="0" w:line="252" w:lineRule="auto"/>
              <w:jc w:val="center"/>
            </w:pPr>
            <w:proofErr w:type="spellStart"/>
            <w:r>
              <w:rPr>
                <w:b/>
                <w:sz w:val="16"/>
              </w:rPr>
              <w:t>平衡准确率</w:t>
            </w:r>
            <w:proofErr w:type="spellEnd"/>
          </w:p>
        </w:tc>
        <w:tc>
          <w:tcPr>
            <w:tcW w:w="13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170598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Macro F1</w:t>
            </w:r>
          </w:p>
        </w:tc>
        <w:tc>
          <w:tcPr>
            <w:tcW w:w="123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E88D7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MAE</w:t>
            </w:r>
          </w:p>
        </w:tc>
        <w:tc>
          <w:tcPr>
            <w:tcW w:w="123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1453E1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RMSE</w:t>
            </w:r>
          </w:p>
        </w:tc>
      </w:tr>
      <w:tr w:rsidR="00FD37F9" w14:paraId="7241CE67" w14:textId="77777777" w:rsidTr="00B861FB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3D56D" w14:textId="77777777" w:rsidR="00FD37F9" w:rsidRDefault="00FD37F9" w:rsidP="00B861FB">
            <w:pPr>
              <w:spacing w:after="0" w:line="252" w:lineRule="auto"/>
            </w:pPr>
            <w:r>
              <w:rPr>
                <w:sz w:val="16"/>
              </w:rPr>
              <w:t>Baseline</w:t>
            </w:r>
          </w:p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F8653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100%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0DBD1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50.00%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DCD93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45.83%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44269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41.87%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24B751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11.06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9A454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12.11</w:t>
            </w:r>
          </w:p>
        </w:tc>
      </w:tr>
      <w:tr w:rsidR="00FD37F9" w14:paraId="76C27B86" w14:textId="77777777" w:rsidTr="00B861FB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845D8" w14:textId="77777777" w:rsidR="00FD37F9" w:rsidRDefault="00FD37F9" w:rsidP="00B861FB">
            <w:pPr>
              <w:spacing w:after="0" w:line="252" w:lineRule="auto"/>
            </w:pPr>
            <w:r>
              <w:rPr>
                <w:sz w:val="16"/>
              </w:rPr>
              <w:t>Prompt</w:t>
            </w:r>
          </w:p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C5632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100%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39721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50.00%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99418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45.83%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34506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43.06%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BA4AA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7.26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8CB0C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8.79</w:t>
            </w:r>
          </w:p>
        </w:tc>
      </w:tr>
      <w:tr w:rsidR="00FD37F9" w14:paraId="68CF9FFD" w14:textId="77777777" w:rsidTr="00B861FB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9C0AA" w14:textId="77777777" w:rsidR="00FD37F9" w:rsidRDefault="00FD37F9" w:rsidP="00B861FB">
            <w:pPr>
              <w:spacing w:after="0" w:line="252" w:lineRule="auto"/>
            </w:pPr>
            <w:proofErr w:type="spellStart"/>
            <w:r>
              <w:rPr>
                <w:sz w:val="16"/>
              </w:rPr>
              <w:t>QLoRA</w:t>
            </w:r>
            <w:proofErr w:type="spellEnd"/>
          </w:p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0EC55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100%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76A06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83.33%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B2673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79.17%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EBB15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80.32%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BDC0A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4.71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52314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7.08</w:t>
            </w:r>
          </w:p>
        </w:tc>
      </w:tr>
      <w:tr w:rsidR="00FD37F9" w14:paraId="7E1E0163" w14:textId="77777777" w:rsidTr="00B861FB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99211" w14:textId="77777777" w:rsidR="00FD37F9" w:rsidRDefault="00FD37F9" w:rsidP="00B861FB">
            <w:pPr>
              <w:spacing w:after="0" w:line="252" w:lineRule="auto"/>
            </w:pPr>
            <w:proofErr w:type="spellStart"/>
            <w:r>
              <w:rPr>
                <w:sz w:val="16"/>
              </w:rPr>
              <w:t>LoRA</w:t>
            </w:r>
            <w:proofErr w:type="spellEnd"/>
          </w:p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551E5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100%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38F1D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83.33%</w:t>
            </w:r>
          </w:p>
        </w:tc>
        <w:tc>
          <w:tcPr>
            <w:tcW w:w="14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63A5B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79.17%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98157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80.32%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396A3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4.39</w:t>
            </w:r>
          </w:p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6AF41" w14:textId="77777777" w:rsidR="00FD37F9" w:rsidRDefault="00FD37F9" w:rsidP="00B861FB">
            <w:pPr>
              <w:spacing w:after="0" w:line="252" w:lineRule="auto"/>
              <w:jc w:val="center"/>
            </w:pPr>
            <w:r>
              <w:rPr>
                <w:sz w:val="16"/>
              </w:rPr>
              <w:t>6.92</w:t>
            </w:r>
          </w:p>
        </w:tc>
      </w:tr>
    </w:tbl>
    <w:p w14:paraId="02ACF0F3" w14:textId="40AA1A22" w:rsidR="00FD37F9" w:rsidRDefault="00FD37F9" w:rsidP="00FD37F9">
      <w:pPr>
        <w:spacing w:before="80" w:after="160"/>
        <w:rPr>
          <w:lang w:eastAsia="zh-CN"/>
        </w:rPr>
      </w:pPr>
      <w:proofErr w:type="spellStart"/>
      <w:proofErr w:type="gramStart"/>
      <w:r>
        <w:rPr>
          <w:b/>
          <w:sz w:val="21"/>
        </w:rPr>
        <w:t>结果解释</w:t>
      </w:r>
      <w:proofErr w:type="spellEnd"/>
      <w:r>
        <w:rPr>
          <w:b/>
          <w:sz w:val="21"/>
        </w:rPr>
        <w:t xml:space="preserve">  </w:t>
      </w:r>
      <w:r>
        <w:rPr>
          <w:sz w:val="21"/>
        </w:rPr>
        <w:t>QLoRA</w:t>
      </w:r>
      <w:proofErr w:type="gramEnd"/>
      <w:r>
        <w:rPr>
          <w:sz w:val="21"/>
        </w:rPr>
        <w:t>与</w:t>
      </w:r>
      <w:r>
        <w:rPr>
          <w:sz w:val="21"/>
        </w:rPr>
        <w:t>LoRA</w:t>
      </w:r>
      <w:r>
        <w:rPr>
          <w:sz w:val="21"/>
        </w:rPr>
        <w:t>均达到</w:t>
      </w:r>
      <w:r>
        <w:rPr>
          <w:sz w:val="21"/>
        </w:rPr>
        <w:t>83.33%</w:t>
      </w:r>
      <w:r>
        <w:rPr>
          <w:sz w:val="21"/>
        </w:rPr>
        <w:t>的健康等级准确率和</w:t>
      </w:r>
      <w:r>
        <w:rPr>
          <w:sz w:val="21"/>
        </w:rPr>
        <w:t>80.32%</w:t>
      </w:r>
      <w:r>
        <w:rPr>
          <w:sz w:val="21"/>
        </w:rPr>
        <w:t>的</w:t>
      </w:r>
      <w:r>
        <w:rPr>
          <w:sz w:val="21"/>
        </w:rPr>
        <w:t>Macro F1</w:t>
      </w:r>
      <w:r>
        <w:rPr>
          <w:sz w:val="21"/>
        </w:rPr>
        <w:t>，明显高于</w:t>
      </w:r>
      <w:r>
        <w:rPr>
          <w:sz w:val="21"/>
        </w:rPr>
        <w:t>Baseline</w:t>
      </w:r>
      <w:r>
        <w:rPr>
          <w:sz w:val="21"/>
        </w:rPr>
        <w:t>与</w:t>
      </w:r>
      <w:r>
        <w:rPr>
          <w:sz w:val="21"/>
        </w:rPr>
        <w:t>Prompt</w:t>
      </w:r>
      <w:r>
        <w:rPr>
          <w:sz w:val="21"/>
        </w:rPr>
        <w:t>。</w:t>
      </w:r>
      <w:r>
        <w:rPr>
          <w:sz w:val="21"/>
        </w:rPr>
        <w:t>QLoRA</w:t>
      </w:r>
      <w:r>
        <w:rPr>
          <w:sz w:val="21"/>
        </w:rPr>
        <w:t>更节省训练显存；</w:t>
      </w:r>
      <w:r>
        <w:rPr>
          <w:sz w:val="21"/>
        </w:rPr>
        <w:t>LoRA</w:t>
      </w:r>
      <w:r>
        <w:rPr>
          <w:sz w:val="21"/>
        </w:rPr>
        <w:t>的</w:t>
      </w:r>
      <w:r>
        <w:rPr>
          <w:sz w:val="21"/>
        </w:rPr>
        <w:t>MAE</w:t>
      </w:r>
      <w:r>
        <w:rPr>
          <w:sz w:val="21"/>
        </w:rPr>
        <w:t>与</w:t>
      </w:r>
      <w:r>
        <w:rPr>
          <w:sz w:val="21"/>
        </w:rPr>
        <w:t>RMSE</w:t>
      </w:r>
      <w:r>
        <w:rPr>
          <w:sz w:val="21"/>
        </w:rPr>
        <w:t>略低。</w:t>
      </w:r>
    </w:p>
    <w:p w14:paraId="0B12B379" w14:textId="77777777" w:rsidR="00FD37F9" w:rsidRPr="00FD37F9" w:rsidRDefault="00FD37F9" w:rsidP="00FD37F9">
      <w:pPr>
        <w:rPr>
          <w:lang w:eastAsia="zh-CN"/>
        </w:rPr>
      </w:pPr>
    </w:p>
    <w:p w14:paraId="7A1B5923" w14:textId="3D6C9EBE" w:rsidR="00D57CFE" w:rsidRPr="00FD37F9" w:rsidRDefault="00000000" w:rsidP="00FD37F9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proofErr w:type="spellStart"/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FinRobot</w:t>
      </w:r>
      <w:proofErr w:type="spellEnd"/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Dexter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与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TradingAgents</w:t>
      </w:r>
      <w:r w:rsidRPr="00FD37F9">
        <w:rPr>
          <w:rFonts w:ascii="Times New Roman" w:eastAsia="宋体" w:hAnsi="Times New Roman" w:cs="Times New Roman"/>
          <w:b/>
          <w:bCs/>
          <w:sz w:val="28"/>
          <w:szCs w:val="28"/>
        </w:rPr>
        <w:t>结果</w:t>
      </w:r>
    </w:p>
    <w:p w14:paraId="063791C0" w14:textId="54D0054A" w:rsidR="00D57CFE" w:rsidRDefault="00000000">
      <w:pPr>
        <w:jc w:val="both"/>
        <w:rPr>
          <w:lang w:eastAsia="zh-CN"/>
        </w:rPr>
      </w:pPr>
      <w:r>
        <w:rPr>
          <w:lang w:eastAsia="zh-CN"/>
        </w:rPr>
        <w:t>三种金融智能体均在</w:t>
      </w:r>
      <w:r>
        <w:rPr>
          <w:lang w:eastAsia="zh-CN"/>
        </w:rPr>
        <w:t>50</w:t>
      </w:r>
      <w:r>
        <w:rPr>
          <w:lang w:eastAsia="zh-CN"/>
        </w:rPr>
        <w:t>条样本、</w:t>
      </w:r>
      <w:r>
        <w:rPr>
          <w:lang w:eastAsia="zh-CN"/>
        </w:rPr>
        <w:t>26</w:t>
      </w:r>
      <w:r>
        <w:rPr>
          <w:lang w:eastAsia="zh-CN"/>
        </w:rPr>
        <w:t>个固定标签和统一评分器下运行。图中比较总体</w:t>
      </w:r>
      <w:r>
        <w:rPr>
          <w:lang w:eastAsia="zh-CN"/>
        </w:rPr>
        <w:t>Macro F1</w:t>
      </w:r>
      <w:r>
        <w:rPr>
          <w:lang w:eastAsia="zh-CN"/>
        </w:rPr>
        <w:t>与三层标签表现，表格补充结构合规、覆盖率和运行成本。</w:t>
      </w:r>
    </w:p>
    <w:p w14:paraId="350CF04C" w14:textId="68464A86" w:rsidR="00D57CFE" w:rsidRDefault="00000000" w:rsidP="00FD37F9">
      <w:pPr>
        <w:spacing w:before="40" w:after="0"/>
        <w:jc w:val="center"/>
        <w:rPr>
          <w:rFonts w:hint="eastAsia"/>
          <w:lang w:eastAsia="zh-CN"/>
        </w:rPr>
      </w:pPr>
      <w:r>
        <w:rPr>
          <w:noProof/>
        </w:rPr>
        <w:lastRenderedPageBreak/>
        <w:drawing>
          <wp:inline distT="0" distB="0" distL="0" distR="0" wp14:anchorId="44E868A6" wp14:editId="230392DB">
            <wp:extent cx="5623560" cy="2408969"/>
            <wp:effectExtent l="0" t="0" r="0" b="0"/>
            <wp:docPr id="1" name="Picture 1" descr="FinRobot、Dexter与TradingAgents的Macro F1和三层F1彩色分组柱状图" title="三种金融智能体分层F1比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ts_colo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40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120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900"/>
        <w:gridCol w:w="950"/>
        <w:gridCol w:w="950"/>
        <w:gridCol w:w="950"/>
        <w:gridCol w:w="1600"/>
        <w:gridCol w:w="1200"/>
        <w:gridCol w:w="1310"/>
      </w:tblGrid>
      <w:tr w:rsidR="00D57CFE" w14:paraId="5E36BFBC" w14:textId="77777777">
        <w:trPr>
          <w:tblHeader/>
        </w:trPr>
        <w:tc>
          <w:tcPr>
            <w:tcW w:w="15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B7517" w14:textId="77777777" w:rsidR="00D57CFE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sz w:val="15"/>
              </w:rPr>
              <w:t>方法</w:t>
            </w:r>
            <w:proofErr w:type="spellEnd"/>
          </w:p>
        </w:tc>
        <w:tc>
          <w:tcPr>
            <w:tcW w:w="9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7D942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5"/>
              </w:rPr>
              <w:t>Macro F1</w:t>
            </w:r>
          </w:p>
        </w:tc>
        <w:tc>
          <w:tcPr>
            <w:tcW w:w="9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69403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5"/>
              </w:rPr>
              <w:t>第一层</w:t>
            </w:r>
          </w:p>
        </w:tc>
        <w:tc>
          <w:tcPr>
            <w:tcW w:w="9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92B88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5"/>
              </w:rPr>
              <w:t>第二层</w:t>
            </w:r>
          </w:p>
        </w:tc>
        <w:tc>
          <w:tcPr>
            <w:tcW w:w="9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7BE60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5"/>
              </w:rPr>
              <w:t>第三层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1F24AA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5"/>
              </w:rPr>
              <w:t>格式</w:t>
            </w:r>
            <w:r>
              <w:rPr>
                <w:b/>
                <w:sz w:val="15"/>
              </w:rPr>
              <w:t xml:space="preserve"> / </w:t>
            </w:r>
            <w:r>
              <w:rPr>
                <w:b/>
                <w:sz w:val="15"/>
              </w:rPr>
              <w:t>覆盖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E8C03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5"/>
              </w:rPr>
              <w:t>平均耗时</w:t>
            </w:r>
          </w:p>
        </w:tc>
        <w:tc>
          <w:tcPr>
            <w:tcW w:w="131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E2B7A" w14:textId="1DBBBF49" w:rsidR="00D57CFE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proofErr w:type="spellStart"/>
            <w:r>
              <w:rPr>
                <w:b/>
                <w:sz w:val="15"/>
              </w:rPr>
              <w:t>总成本</w:t>
            </w:r>
            <w:proofErr w:type="spellEnd"/>
            <w:r w:rsidR="00FD37F9">
              <w:rPr>
                <w:rFonts w:hint="eastAsia"/>
                <w:b/>
                <w:sz w:val="15"/>
                <w:lang w:eastAsia="zh-CN"/>
              </w:rPr>
              <w:t>（元）</w:t>
            </w:r>
          </w:p>
        </w:tc>
      </w:tr>
      <w:tr w:rsidR="00D57CFE" w14:paraId="0193FDC6" w14:textId="77777777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667605" w14:textId="77777777" w:rsidR="00D57CFE" w:rsidRDefault="00000000">
            <w:pPr>
              <w:spacing w:after="0" w:line="252" w:lineRule="auto"/>
            </w:pPr>
            <w:r>
              <w:rPr>
                <w:sz w:val="15"/>
              </w:rPr>
              <w:t>FinRobot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A9F24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4.99%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815B2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10.93%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543FA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4.36%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DA063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1.07%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EFC9D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100% / 100%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DD640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103.3 s/</w:t>
            </w:r>
            <w:r>
              <w:rPr>
                <w:sz w:val="15"/>
              </w:rPr>
              <w:t>条</w:t>
            </w:r>
          </w:p>
        </w:tc>
        <w:tc>
          <w:tcPr>
            <w:tcW w:w="13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41061A" w14:textId="4AEA42A9" w:rsidR="00D57CFE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5"/>
              </w:rPr>
              <w:t>9.05</w:t>
            </w:r>
          </w:p>
        </w:tc>
      </w:tr>
      <w:tr w:rsidR="00D57CFE" w14:paraId="534AA50B" w14:textId="77777777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B3EBE" w14:textId="77777777" w:rsidR="00D57CFE" w:rsidRDefault="00000000">
            <w:pPr>
              <w:spacing w:after="0" w:line="252" w:lineRule="auto"/>
            </w:pPr>
            <w:r>
              <w:rPr>
                <w:sz w:val="15"/>
              </w:rPr>
              <w:t>Dexter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2C024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8.46%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1DE23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12.16%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3B79F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4.28%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83B43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8.42%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162D69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100% / 99.92%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91E91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109.0 s/</w:t>
            </w:r>
            <w:r>
              <w:rPr>
                <w:sz w:val="15"/>
              </w:rPr>
              <w:t>条</w:t>
            </w:r>
          </w:p>
        </w:tc>
        <w:tc>
          <w:tcPr>
            <w:tcW w:w="13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65940" w14:textId="4659E490" w:rsidR="00D57CFE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5"/>
              </w:rPr>
              <w:t>9.71</w:t>
            </w:r>
          </w:p>
        </w:tc>
      </w:tr>
      <w:tr w:rsidR="00D57CFE" w14:paraId="2CD87840" w14:textId="77777777">
        <w:tc>
          <w:tcPr>
            <w:tcW w:w="15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A8B0F" w14:textId="77777777" w:rsidR="00D57CFE" w:rsidRDefault="00000000">
            <w:pPr>
              <w:spacing w:after="0" w:line="252" w:lineRule="auto"/>
            </w:pPr>
            <w:r>
              <w:rPr>
                <w:sz w:val="15"/>
              </w:rPr>
              <w:t>TradingAgents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5A627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5.01%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3E8A2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10.54%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046C0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3.30%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6FA8F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2.08%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70C60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96% / 100%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2A335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117.6 s/</w:t>
            </w:r>
            <w:r>
              <w:rPr>
                <w:sz w:val="15"/>
              </w:rPr>
              <w:t>条</w:t>
            </w:r>
          </w:p>
        </w:tc>
        <w:tc>
          <w:tcPr>
            <w:tcW w:w="13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BE40D" w14:textId="68BBAE24" w:rsidR="00D57CFE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5"/>
              </w:rPr>
              <w:t>10.72</w:t>
            </w:r>
          </w:p>
        </w:tc>
      </w:tr>
    </w:tbl>
    <w:p w14:paraId="55EA64C2" w14:textId="25CC9FD4" w:rsidR="00D57CFE" w:rsidRPr="00FD37F9" w:rsidRDefault="00000000" w:rsidP="00FD37F9">
      <w:pPr>
        <w:spacing w:before="80" w:after="160"/>
        <w:rPr>
          <w:sz w:val="21"/>
        </w:rPr>
      </w:pPr>
      <w:proofErr w:type="gramStart"/>
      <w:r w:rsidRPr="00FD37F9">
        <w:rPr>
          <w:b/>
          <w:bCs/>
          <w:sz w:val="21"/>
        </w:rPr>
        <w:t>结果解释</w:t>
      </w:r>
      <w:r w:rsidRPr="00FD37F9">
        <w:rPr>
          <w:b/>
          <w:bCs/>
          <w:sz w:val="21"/>
        </w:rPr>
        <w:t xml:space="preserve"> </w:t>
      </w:r>
      <w:r w:rsidRPr="00FD37F9">
        <w:rPr>
          <w:sz w:val="21"/>
        </w:rPr>
        <w:t xml:space="preserve"> </w:t>
      </w:r>
      <w:r>
        <w:rPr>
          <w:sz w:val="21"/>
        </w:rPr>
        <w:t>Dexter</w:t>
      </w:r>
      <w:proofErr w:type="gramEnd"/>
      <w:r>
        <w:rPr>
          <w:sz w:val="21"/>
        </w:rPr>
        <w:t>的</w:t>
      </w:r>
      <w:r>
        <w:rPr>
          <w:sz w:val="21"/>
        </w:rPr>
        <w:t>Macro F1</w:t>
      </w:r>
      <w:r>
        <w:rPr>
          <w:sz w:val="21"/>
        </w:rPr>
        <w:t>为</w:t>
      </w:r>
      <w:r>
        <w:rPr>
          <w:sz w:val="21"/>
        </w:rPr>
        <w:t>8.46%</w:t>
      </w:r>
      <w:r>
        <w:rPr>
          <w:sz w:val="21"/>
        </w:rPr>
        <w:t>，是三种流程中最高；</w:t>
      </w:r>
      <w:r>
        <w:rPr>
          <w:sz w:val="21"/>
        </w:rPr>
        <w:t>TradingAgents</w:t>
      </w:r>
      <w:r>
        <w:rPr>
          <w:sz w:val="21"/>
        </w:rPr>
        <w:t>因角色讨论步骤更多，平均调用次数、耗时和总成本最高。综合健康度的旧兼容指标不纳入此处结论。</w:t>
      </w:r>
    </w:p>
    <w:p w14:paraId="1E653B9F" w14:textId="78296734" w:rsidR="00D57CFE" w:rsidRPr="00FD37F9" w:rsidRDefault="00000000" w:rsidP="00FD37F9">
      <w:pPr>
        <w:rPr>
          <w:lang w:eastAsia="zh-CN"/>
        </w:rPr>
      </w:pPr>
      <w:r w:rsidRPr="00FD37F9"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迪瑞医疗、华铭智能与汇金科技预测</w:t>
      </w:r>
    </w:p>
    <w:p w14:paraId="2CAD084C" w14:textId="5D577EAB" w:rsidR="00D57CFE" w:rsidRDefault="00000000">
      <w:pPr>
        <w:jc w:val="both"/>
        <w:rPr>
          <w:lang w:eastAsia="zh-CN"/>
        </w:rPr>
      </w:pPr>
      <w:r>
        <w:rPr>
          <w:lang w:eastAsia="zh-CN"/>
        </w:rPr>
        <w:t>2023</w:t>
      </w:r>
      <w:r>
        <w:rPr>
          <w:lang w:eastAsia="zh-CN"/>
        </w:rPr>
        <w:t>至</w:t>
      </w:r>
      <w:r>
        <w:rPr>
          <w:lang w:eastAsia="zh-CN"/>
        </w:rPr>
        <w:t>2025</w:t>
      </w:r>
      <w:r>
        <w:rPr>
          <w:lang w:eastAsia="zh-CN"/>
        </w:rPr>
        <w:t>年为模型回溯评分，</w:t>
      </w:r>
      <w:r>
        <w:rPr>
          <w:lang w:eastAsia="zh-CN"/>
        </w:rPr>
        <w:t>2026</w:t>
      </w:r>
      <w:r>
        <w:rPr>
          <w:lang w:eastAsia="zh-CN"/>
        </w:rPr>
        <w:t>年为根据前三个年度点</w:t>
      </w:r>
      <w:r w:rsidR="00FD37F9">
        <w:rPr>
          <w:rFonts w:hint="eastAsia"/>
          <w:lang w:eastAsia="zh-CN"/>
        </w:rPr>
        <w:t>，使用大语言模型</w:t>
      </w:r>
      <w:r>
        <w:rPr>
          <w:lang w:eastAsia="zh-CN"/>
        </w:rPr>
        <w:t>形成的趋势预测。图中用实线表示历史评分、虚线表示预测，并用浅色区间呈现预测范围。</w:t>
      </w:r>
    </w:p>
    <w:p w14:paraId="052414AB" w14:textId="77777777" w:rsidR="00D57CFE" w:rsidRDefault="00000000">
      <w:pPr>
        <w:spacing w:before="40" w:after="0"/>
        <w:jc w:val="center"/>
      </w:pPr>
      <w:r>
        <w:rPr>
          <w:noProof/>
        </w:rPr>
        <w:drawing>
          <wp:inline distT="0" distB="0" distL="0" distR="0" wp14:anchorId="22E48B8B" wp14:editId="34CA0D31">
            <wp:extent cx="5623560" cy="2335252"/>
            <wp:effectExtent l="0" t="0" r="0" b="0"/>
            <wp:docPr id="3" name="Picture 3" descr="迪瑞医疗、华铭智能和汇金科技2023至2026年CFHS评分及2026预测区间的彩色三子图" title="三家公司CFHS评分时间序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nies_colo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33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9B6B" w14:textId="676920D0" w:rsidR="00D57CFE" w:rsidRDefault="00D57CFE">
      <w:pPr>
        <w:spacing w:before="80" w:after="160"/>
        <w:jc w:val="center"/>
        <w:rPr>
          <w:color w:val="666666"/>
          <w:sz w:val="18"/>
          <w:lang w:eastAsia="zh-CN"/>
        </w:rPr>
      </w:pPr>
    </w:p>
    <w:p w14:paraId="322D24A4" w14:textId="77777777" w:rsidR="00FD37F9" w:rsidRDefault="00FD37F9">
      <w:pPr>
        <w:spacing w:before="80" w:after="160"/>
        <w:jc w:val="center"/>
        <w:rPr>
          <w:rFonts w:hint="eastAsia"/>
          <w:lang w:eastAsia="zh-CN"/>
        </w:rPr>
      </w:pPr>
    </w:p>
    <w:tbl>
      <w:tblPr>
        <w:tblW w:w="9360" w:type="dxa"/>
        <w:tblInd w:w="120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850"/>
        <w:gridCol w:w="850"/>
        <w:gridCol w:w="850"/>
        <w:gridCol w:w="1050"/>
        <w:gridCol w:w="1550"/>
        <w:gridCol w:w="2010"/>
      </w:tblGrid>
      <w:tr w:rsidR="00D57CFE" w14:paraId="0228451A" w14:textId="77777777">
        <w:trPr>
          <w:tblHeader/>
        </w:trPr>
        <w:tc>
          <w:tcPr>
            <w:tcW w:w="220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C33A9" w14:textId="77777777" w:rsidR="00D57CFE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sz w:val="16"/>
              </w:rPr>
              <w:lastRenderedPageBreak/>
              <w:t>企业</w:t>
            </w:r>
            <w:proofErr w:type="spellEnd"/>
          </w:p>
        </w:tc>
        <w:tc>
          <w:tcPr>
            <w:tcW w:w="8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6A16E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2023</w:t>
            </w:r>
          </w:p>
        </w:tc>
        <w:tc>
          <w:tcPr>
            <w:tcW w:w="8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BB3EE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2024</w:t>
            </w:r>
          </w:p>
        </w:tc>
        <w:tc>
          <w:tcPr>
            <w:tcW w:w="8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2896C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2025</w:t>
            </w:r>
          </w:p>
        </w:tc>
        <w:tc>
          <w:tcPr>
            <w:tcW w:w="10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EFDE0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2026</w:t>
            </w:r>
            <w:r>
              <w:rPr>
                <w:b/>
                <w:sz w:val="16"/>
              </w:rPr>
              <w:t>预测</w:t>
            </w:r>
          </w:p>
        </w:tc>
        <w:tc>
          <w:tcPr>
            <w:tcW w:w="155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E6E23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2026</w:t>
            </w:r>
            <w:r>
              <w:rPr>
                <w:b/>
                <w:sz w:val="16"/>
              </w:rPr>
              <w:t>区间</w:t>
            </w:r>
          </w:p>
        </w:tc>
        <w:tc>
          <w:tcPr>
            <w:tcW w:w="2010" w:type="dxa"/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426FB" w14:textId="77777777" w:rsidR="00D57CFE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趋势判断</w:t>
            </w:r>
          </w:p>
        </w:tc>
      </w:tr>
      <w:tr w:rsidR="00D57CFE" w14:paraId="67B05F45" w14:textId="77777777">
        <w:tc>
          <w:tcPr>
            <w:tcW w:w="22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FA8B8" w14:textId="77777777" w:rsidR="00D57CFE" w:rsidRDefault="00000000">
            <w:pPr>
              <w:spacing w:after="0" w:line="252" w:lineRule="auto"/>
            </w:pPr>
            <w:r>
              <w:rPr>
                <w:sz w:val="16"/>
              </w:rPr>
              <w:t>迪瑞医疗（</w:t>
            </w:r>
            <w:r>
              <w:rPr>
                <w:sz w:val="16"/>
              </w:rPr>
              <w:t>300396</w:t>
            </w:r>
            <w:r>
              <w:rPr>
                <w:sz w:val="16"/>
              </w:rPr>
              <w:t>）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8967A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97.99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1ABED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70.00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D6243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44.00</w:t>
            </w:r>
          </w:p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3F82E6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16.67</w:t>
            </w:r>
          </w:p>
        </w:tc>
        <w:tc>
          <w:tcPr>
            <w:tcW w:w="15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D943D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12.29—21.06</w:t>
            </w:r>
          </w:p>
        </w:tc>
        <w:tc>
          <w:tcPr>
            <w:tcW w:w="20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CA41B" w14:textId="77777777" w:rsidR="00D57CFE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6"/>
                <w:lang w:eastAsia="zh-CN"/>
              </w:rPr>
              <w:t>持续下行，需优先复核</w:t>
            </w:r>
          </w:p>
        </w:tc>
      </w:tr>
      <w:tr w:rsidR="00D57CFE" w14:paraId="380B9FF8" w14:textId="77777777">
        <w:tc>
          <w:tcPr>
            <w:tcW w:w="22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3D47F" w14:textId="77777777" w:rsidR="00D57CFE" w:rsidRDefault="00000000">
            <w:pPr>
              <w:spacing w:after="0" w:line="252" w:lineRule="auto"/>
            </w:pPr>
            <w:r>
              <w:rPr>
                <w:sz w:val="16"/>
              </w:rPr>
              <w:t>华铭智能（</w:t>
            </w:r>
            <w:r>
              <w:rPr>
                <w:sz w:val="16"/>
              </w:rPr>
              <w:t>300462</w:t>
            </w:r>
            <w:r>
              <w:rPr>
                <w:sz w:val="16"/>
              </w:rPr>
              <w:t>）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C04B2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74.00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D048B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84.00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42735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70.00</w:t>
            </w:r>
          </w:p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0E682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72.00</w:t>
            </w:r>
          </w:p>
        </w:tc>
        <w:tc>
          <w:tcPr>
            <w:tcW w:w="15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7E34A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67.61—76.39</w:t>
            </w:r>
          </w:p>
        </w:tc>
        <w:tc>
          <w:tcPr>
            <w:tcW w:w="20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77477" w14:textId="77777777" w:rsidR="00D57CFE" w:rsidRDefault="00000000">
            <w:pPr>
              <w:spacing w:after="0" w:line="252" w:lineRule="auto"/>
            </w:pPr>
            <w:r>
              <w:rPr>
                <w:sz w:val="16"/>
              </w:rPr>
              <w:t>总体稳定，维持关注</w:t>
            </w:r>
          </w:p>
        </w:tc>
      </w:tr>
      <w:tr w:rsidR="00D57CFE" w14:paraId="4F5780A0" w14:textId="77777777">
        <w:tc>
          <w:tcPr>
            <w:tcW w:w="2200" w:type="dxa"/>
            <w:shd w:val="clear" w:color="auto" w:fill="F3F3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4C36A" w14:textId="77777777" w:rsidR="00D57CFE" w:rsidRDefault="00000000">
            <w:pPr>
              <w:spacing w:after="0" w:line="252" w:lineRule="auto"/>
            </w:pPr>
            <w:r>
              <w:rPr>
                <w:sz w:val="16"/>
              </w:rPr>
              <w:t>汇金科技（</w:t>
            </w:r>
            <w:r>
              <w:rPr>
                <w:sz w:val="16"/>
              </w:rPr>
              <w:t>300561</w:t>
            </w:r>
            <w:r>
              <w:rPr>
                <w:sz w:val="16"/>
              </w:rPr>
              <w:t>）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97694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94.04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6C0AB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70.00</w:t>
            </w:r>
          </w:p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A1CBE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70.00</w:t>
            </w:r>
          </w:p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D567B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53.97</w:t>
            </w:r>
          </w:p>
        </w:tc>
        <w:tc>
          <w:tcPr>
            <w:tcW w:w="15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B5BAA" w14:textId="77777777" w:rsidR="00D57CFE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49.59—58.36</w:t>
            </w:r>
          </w:p>
        </w:tc>
        <w:tc>
          <w:tcPr>
            <w:tcW w:w="20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85E54" w14:textId="77777777" w:rsidR="00D57CFE" w:rsidRDefault="00000000">
            <w:pPr>
              <w:spacing w:after="0" w:line="252" w:lineRule="auto"/>
            </w:pPr>
            <w:r>
              <w:rPr>
                <w:sz w:val="16"/>
              </w:rPr>
              <w:t>趋势转弱，建议跟踪</w:t>
            </w:r>
          </w:p>
        </w:tc>
      </w:tr>
    </w:tbl>
    <w:p w14:paraId="6AEE583C" w14:textId="77777777" w:rsidR="00D57CFE" w:rsidRDefault="00000000">
      <w:pPr>
        <w:spacing w:before="80" w:after="160"/>
        <w:jc w:val="center"/>
        <w:rPr>
          <w:lang w:eastAsia="zh-CN"/>
        </w:rPr>
      </w:pPr>
      <w:r>
        <w:rPr>
          <w:color w:val="666666"/>
          <w:sz w:val="18"/>
          <w:lang w:eastAsia="zh-CN"/>
        </w:rPr>
        <w:t>表</w:t>
      </w:r>
      <w:proofErr w:type="gramStart"/>
      <w:r>
        <w:rPr>
          <w:color w:val="666666"/>
          <w:sz w:val="18"/>
          <w:lang w:eastAsia="zh-CN"/>
        </w:rPr>
        <w:t xml:space="preserve">3  </w:t>
      </w:r>
      <w:r>
        <w:rPr>
          <w:color w:val="666666"/>
          <w:sz w:val="18"/>
          <w:lang w:eastAsia="zh-CN"/>
        </w:rPr>
        <w:t>三家公司</w:t>
      </w:r>
      <w:proofErr w:type="gramEnd"/>
      <w:r>
        <w:rPr>
          <w:color w:val="666666"/>
          <w:sz w:val="18"/>
          <w:lang w:eastAsia="zh-CN"/>
        </w:rPr>
        <w:t>CFHS</w:t>
      </w:r>
      <w:r>
        <w:rPr>
          <w:color w:val="666666"/>
          <w:sz w:val="18"/>
          <w:lang w:eastAsia="zh-CN"/>
        </w:rPr>
        <w:t>评分与趋势判断</w:t>
      </w:r>
    </w:p>
    <w:p w14:paraId="54BBD508" w14:textId="77777777" w:rsidR="00D57CFE" w:rsidRPr="00FD37F9" w:rsidRDefault="00000000" w:rsidP="00FD37F9">
      <w:pPr>
        <w:spacing w:before="80" w:after="160"/>
        <w:rPr>
          <w:sz w:val="21"/>
        </w:rPr>
      </w:pPr>
      <w:proofErr w:type="gramStart"/>
      <w:r w:rsidRPr="00FD37F9">
        <w:rPr>
          <w:b/>
          <w:bCs/>
          <w:sz w:val="21"/>
        </w:rPr>
        <w:t>使用说明</w:t>
      </w:r>
      <w:r w:rsidRPr="00FD37F9">
        <w:rPr>
          <w:b/>
          <w:bCs/>
          <w:sz w:val="21"/>
        </w:rPr>
        <w:t xml:space="preserve"> </w:t>
      </w:r>
      <w:r w:rsidRPr="00FD37F9">
        <w:rPr>
          <w:sz w:val="21"/>
        </w:rPr>
        <w:t xml:space="preserve"> </w:t>
      </w:r>
      <w:r>
        <w:rPr>
          <w:sz w:val="21"/>
        </w:rPr>
        <w:t>迪瑞医疗的预测降幅最大</w:t>
      </w:r>
      <w:proofErr w:type="gramEnd"/>
      <w:r>
        <w:rPr>
          <w:sz w:val="21"/>
        </w:rPr>
        <w:t>，应优先复核；华铭智能整体较稳定；汇金科技呈转弱趋势。预测结果用于趋势预警和复核排序，不单独替代审计、授信或投资判断。</w:t>
      </w:r>
    </w:p>
    <w:sectPr w:rsidR="00D57CFE" w:rsidRPr="00FD37F9" w:rsidSect="00FD37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5265" w14:textId="77777777" w:rsidR="00702FA9" w:rsidRDefault="00702FA9">
      <w:pPr>
        <w:spacing w:after="0" w:line="240" w:lineRule="auto"/>
      </w:pPr>
      <w:r>
        <w:separator/>
      </w:r>
    </w:p>
  </w:endnote>
  <w:endnote w:type="continuationSeparator" w:id="0">
    <w:p w14:paraId="7CFF72EC" w14:textId="77777777" w:rsidR="00702FA9" w:rsidRDefault="0070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5B06" w14:textId="77777777" w:rsidR="00FD37F9" w:rsidRDefault="00FD37F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7FCE" w14:textId="77777777" w:rsidR="00D57CFE" w:rsidRDefault="00000000">
    <w:pPr>
      <w:pStyle w:val="a7"/>
      <w:jc w:val="right"/>
    </w:pPr>
    <w:r>
      <w:rPr>
        <w:color w:val="666666"/>
        <w:sz w:val="17"/>
      </w:rPr>
      <w:t xml:space="preserve">20260808 </w:t>
    </w:r>
    <w:proofErr w:type="spellStart"/>
    <w:proofErr w:type="gramStart"/>
    <w:r>
      <w:rPr>
        <w:color w:val="666666"/>
        <w:sz w:val="17"/>
      </w:rPr>
      <w:t>交付</w:t>
    </w:r>
    <w:proofErr w:type="spellEnd"/>
    <w:r>
      <w:rPr>
        <w:color w:val="666666"/>
        <w:sz w:val="17"/>
      </w:rPr>
      <w:t xml:space="preserve">  ·</w:t>
    </w:r>
    <w:proofErr w:type="gramEnd"/>
    <w:r>
      <w:rPr>
        <w:color w:val="666666"/>
        <w:sz w:val="17"/>
      </w:rPr>
      <w:t xml:space="preserve">  </w:t>
    </w:r>
    <w:r>
      <w:rPr>
        <w:color w:val="666666"/>
        <w:sz w:val="17"/>
      </w:rPr>
      <w:fldChar w:fldCharType="begin"/>
    </w:r>
    <w:r>
      <w:rPr>
        <w:color w:val="666666"/>
        <w:sz w:val="17"/>
      </w:rPr>
      <w:instrText>PAGE</w:instrText>
    </w:r>
    <w:r>
      <w:rPr>
        <w:color w:val="666666"/>
        <w:sz w:val="17"/>
      </w:rPr>
      <w:fldChar w:fldCharType="separate"/>
    </w:r>
    <w:r>
      <w:rPr>
        <w:color w:val="666666"/>
        <w:sz w:val="17"/>
      </w:rPr>
      <w:t>1</w:t>
    </w:r>
    <w:r>
      <w:rPr>
        <w:color w:val="666666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AE1F" w14:textId="77777777" w:rsidR="00D57CFE" w:rsidRDefault="00D57C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57D7" w14:textId="77777777" w:rsidR="00702FA9" w:rsidRDefault="00702FA9">
      <w:pPr>
        <w:spacing w:after="0" w:line="240" w:lineRule="auto"/>
      </w:pPr>
      <w:r>
        <w:separator/>
      </w:r>
    </w:p>
  </w:footnote>
  <w:footnote w:type="continuationSeparator" w:id="0">
    <w:p w14:paraId="0330B7ED" w14:textId="77777777" w:rsidR="00702FA9" w:rsidRDefault="00702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B9CD" w14:textId="77777777" w:rsidR="00FD37F9" w:rsidRDefault="00FD37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2DE1" w14:textId="4C3FF7C7" w:rsidR="00D57CFE" w:rsidRDefault="00D57CF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1FCD" w14:textId="77777777" w:rsidR="00D57CFE" w:rsidRDefault="00D57C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225610">
    <w:abstractNumId w:val="8"/>
  </w:num>
  <w:num w:numId="2" w16cid:durableId="720859279">
    <w:abstractNumId w:val="6"/>
  </w:num>
  <w:num w:numId="3" w16cid:durableId="401295812">
    <w:abstractNumId w:val="5"/>
  </w:num>
  <w:num w:numId="4" w16cid:durableId="1770278329">
    <w:abstractNumId w:val="4"/>
  </w:num>
  <w:num w:numId="5" w16cid:durableId="428235465">
    <w:abstractNumId w:val="7"/>
  </w:num>
  <w:num w:numId="6" w16cid:durableId="792863398">
    <w:abstractNumId w:val="3"/>
  </w:num>
  <w:num w:numId="7" w16cid:durableId="529033989">
    <w:abstractNumId w:val="2"/>
  </w:num>
  <w:num w:numId="8" w16cid:durableId="1290280225">
    <w:abstractNumId w:val="1"/>
  </w:num>
  <w:num w:numId="9" w16cid:durableId="323167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0AA5"/>
    <w:rsid w:val="0015074B"/>
    <w:rsid w:val="0029639D"/>
    <w:rsid w:val="00326F90"/>
    <w:rsid w:val="00702FA9"/>
    <w:rsid w:val="00AA1D8D"/>
    <w:rsid w:val="00B47730"/>
    <w:rsid w:val="00CB0664"/>
    <w:rsid w:val="00D57CFE"/>
    <w:rsid w:val="00FC693F"/>
    <w:rsid w:val="00FD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E94EC6"/>
  <w14:defaultImageDpi w14:val="300"/>
  <w15:docId w15:val="{05B0CAEC-BB93-4B05-A576-BE1EA6B5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64" w:lineRule="auto"/>
    </w:pPr>
    <w:rPr>
      <w:rFonts w:ascii="Calibri" w:eastAsia="微软雅黑" w:hAnsi="Calibri"/>
      <w:color w:val="11111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333333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FHSBullet">
    <w:name w:val="CFHS Bullet"/>
    <w:basedOn w:val="a1"/>
    <w:pPr>
      <w:tabs>
        <w:tab w:val="num" w:pos="360"/>
      </w:tabs>
      <w:spacing w:after="160" w:line="280" w:lineRule="auto"/>
      <w:ind w:left="720" w:hanging="360"/>
    </w:pPr>
  </w:style>
  <w:style w:type="paragraph" w:customStyle="1" w:styleId="CFHSNumber">
    <w:name w:val="CFHS Number"/>
    <w:basedOn w:val="a1"/>
    <w:pPr>
      <w:tabs>
        <w:tab w:val="num" w:pos="360"/>
      </w:tabs>
      <w:spacing w:after="160" w:line="280" w:lineRule="auto"/>
      <w:ind w:left="7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478</Words>
  <Characters>829</Characters>
  <Application>Microsoft Office Word</Application>
  <DocSecurity>0</DocSecurity>
  <Lines>92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CFHS模型结果说明</dc:title>
  <dc:subject>金融智能体、四模型比较与三家公司预测</dc:subject>
  <dc:creator>CFHS项目组</dc:creator>
  <cp:keywords>CFHS, QLoRA, LoRA, FinRobot, Dexter, TradingAgents, 企业预测</cp:keywords>
  <dc:description>generated by python-docx</dc:description>
  <cp:lastModifiedBy>航 韩</cp:lastModifiedBy>
  <cp:revision>2</cp:revision>
  <dcterms:created xsi:type="dcterms:W3CDTF">2013-12-23T23:15:00Z</dcterms:created>
  <dcterms:modified xsi:type="dcterms:W3CDTF">2026-08-18T01:39:00Z</dcterms:modified>
  <cp:category/>
</cp:coreProperties>
</file>