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after="280"/>
      </w:pPr>
    </w:p>
    <w:p>
      <w:pPr>
        <w:spacing w:after="280"/>
      </w:pPr>
    </w:p>
    <w:p>
      <w:pPr>
        <w:spacing w:after="280"/>
      </w:pPr>
    </w:p>
    <w:p>
      <w:pPr>
        <w:spacing w:after="360"/>
        <w:jc w:val="center"/>
      </w:pPr>
      <w:r>
        <w:rPr>
          <w:rFonts w:ascii="Calibri" w:hAnsi="Calibri" w:eastAsia="Microsoft YaHei"/>
          <w:b/>
          <w:caps/>
          <w:color w:val="555555"/>
          <w:sz w:val="19"/>
        </w:rPr>
        <w:t>CFHS · RESULT BRIEF</w:t>
      </w:r>
    </w:p>
    <w:p>
      <w:pPr>
        <w:spacing w:after="240"/>
        <w:jc w:val="center"/>
      </w:pPr>
      <w:r>
        <w:rPr>
          <w:rFonts w:ascii="Calibri" w:hAnsi="Calibri" w:eastAsia="Microsoft YaHei"/>
          <w:b/>
          <w:color w:val="111111"/>
          <w:sz w:val="60"/>
        </w:rPr>
        <w:t>CFHS模型结果说明</w:t>
      </w:r>
    </w:p>
    <w:p>
      <w:pPr>
        <w:spacing w:after="600"/>
        <w:jc w:val="center"/>
      </w:pPr>
      <w:r>
        <w:rPr>
          <w:rFonts w:ascii="Calibri" w:hAnsi="Calibri" w:eastAsia="Microsoft YaHei"/>
          <w:color w:val="333333"/>
          <w:sz w:val="28"/>
        </w:rPr>
        <w:t>金融智能体 · 四模型比较 · 三家公司预测</w:t>
      </w:r>
    </w:p>
    <w:p>
      <w:pPr>
        <w:spacing w:after="160"/>
        <w:jc w:val="center"/>
      </w:pPr>
      <w:r>
        <w:rPr>
          <w:rFonts w:ascii="Calibri" w:hAnsi="Calibri" w:eastAsia="Microsoft YaHei"/>
          <w:b/>
          <w:color w:val="666666"/>
          <w:sz w:val="21"/>
        </w:rPr>
        <w:t>结果汇总、指标解释与趋势展示</w:t>
      </w:r>
    </w:p>
    <w:p>
      <w:pPr>
        <w:spacing w:after="200"/>
      </w:pPr>
    </w:p>
    <w:p>
      <w:pPr>
        <w:spacing w:after="200"/>
      </w:pPr>
    </w:p>
    <w:p>
      <w:pPr>
        <w:spacing w:after="200"/>
      </w:pPr>
    </w:p>
    <w:p>
      <w:pPr>
        <w:spacing w:after="200"/>
      </w:pPr>
    </w:p>
    <w:p>
      <w:pPr>
        <w:spacing w:after="200"/>
      </w:pPr>
    </w:p>
    <w:p>
      <w:pPr>
        <w:jc w:val="center"/>
      </w:pPr>
      <w:r>
        <w:rPr>
          <w:rFonts w:ascii="Calibri" w:hAnsi="Calibri" w:eastAsia="Microsoft YaHei"/>
          <w:color w:val="666666"/>
          <w:sz w:val="20"/>
        </w:rPr>
        <w:t>2026年8月</w:t>
      </w:r>
    </w:p>
    <w:p>
      <w:r>
        <w:br w:type="page"/>
      </w:r>
    </w:p>
    <w:p>
      <w:pPr>
        <w:spacing w:after="100"/>
        <w:jc w:val="left"/>
      </w:pPr>
      <w:r>
        <w:rPr>
          <w:rFonts w:ascii="Calibri" w:hAnsi="Calibri" w:eastAsia="Microsoft YaHei"/>
          <w:b/>
          <w:caps/>
          <w:color w:val="555555"/>
          <w:sz w:val="19"/>
        </w:rPr>
        <w:t>01 · FINANCIAL AGENTS</w:t>
      </w:r>
    </w:p>
    <w:p>
      <w:pPr>
        <w:pStyle w:val="Heading1"/>
        <w:keepNext/>
      </w:pPr>
      <w:r>
        <w:t>FinRobot、Dexter与TradingAgents结果</w:t>
      </w:r>
    </w:p>
    <w:p>
      <w:pPr>
        <w:spacing w:after="120"/>
        <w:jc w:val="both"/>
      </w:pPr>
      <w:r>
        <w:rPr>
          <w:rFonts w:ascii="Calibri" w:hAnsi="Calibri" w:eastAsia="Microsoft YaHei"/>
          <w:color w:val="111111"/>
        </w:rPr>
        <w:t>三种金融智能体均在50条样本、26个固定标签和统一评分器下运行，使用相同远程后端，仅改变任务编排方式。图中比较总体Macro F1与三层标签表现，表格补充结构合规、覆盖率和运行成本。</w:t>
      </w:r>
    </w:p>
    <w:p>
      <w:pPr>
        <w:spacing w:before="40" w:after="0"/>
        <w:jc w:val="center"/>
      </w:pPr>
      <w:r>
        <w:drawing>
          <wp:inline xmlns:a="http://schemas.openxmlformats.org/drawingml/2006/main" xmlns:pic="http://schemas.openxmlformats.org/drawingml/2006/picture">
            <wp:extent cx="5623560" cy="2408969"/>
            <wp:docPr id="1" name="Picture 1" title="三种金融智能体分层F1比较" descr="FinRobot、Dexter与TradingAgents的Macro F1和三层F1彩色分组柱状图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agents_color.png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623560" cy="2408969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spacing w:before="80" w:after="160"/>
        <w:jc w:val="center"/>
      </w:pPr>
      <w:r>
        <w:rPr>
          <w:rFonts w:ascii="Calibri" w:hAnsi="Calibri" w:eastAsia="Microsoft YaHei"/>
          <w:color w:val="666666"/>
          <w:sz w:val="18"/>
        </w:rPr>
        <w:t>图1  三种金融智能体的总体与分层F1</w:t>
      </w:r>
    </w:p>
    <w:tbl>
      <w:tblPr>
        <w:tblW w:type="dxa" w:w="9360"/>
        <w:jc w:val="left"/>
        <w:tblLayout w:type="fixed"/>
        <w:tblLook w:firstColumn="1" w:firstRow="1" w:lastColumn="0" w:lastRow="0" w:noHBand="0" w:noVBand="1" w:val="04A0"/>
        <w:tblInd w:w="120" w:type="dxa"/>
        <w:tblBorders>
          <w:top w:val="single" w:sz="6" w:space="0" w:color="C8C8C8"/>
          <w:left w:val="single" w:sz="6" w:space="0" w:color="C8C8C8"/>
          <w:bottom w:val="single" w:sz="6" w:space="0" w:color="C8C8C8"/>
          <w:right w:val="single" w:sz="6" w:space="0" w:color="C8C8C8"/>
          <w:insideH w:val="single" w:sz="6" w:space="0" w:color="C8C8C8"/>
          <w:insideV w:val="single" w:sz="6" w:space="0" w:color="C8C8C8"/>
        </w:tblBorders>
      </w:tblPr>
      <w:tblGrid>
        <w:gridCol w:w="1500"/>
        <w:gridCol w:w="900"/>
        <w:gridCol w:w="950"/>
        <w:gridCol w:w="950"/>
        <w:gridCol w:w="950"/>
        <w:gridCol w:w="1600"/>
        <w:gridCol w:w="1200"/>
        <w:gridCol w:w="1310"/>
      </w:tblGrid>
      <w:tr>
        <w:trPr>
          <w:tblHeader w:val="true"/>
        </w:trPr>
        <w:tc>
          <w:tcPr>
            <w:tcW w:type="dxa" w:w="150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val="clear" w:color="auto" w:fill="E8E8E8"/>
          </w:tcPr>
          <w:p>
            <w:pPr>
              <w:spacing w:before="0" w:after="0" w:line="252" w:lineRule="auto"/>
              <w:jc w:val="center"/>
            </w:pPr>
            <w:r>
              <w:rPr>
                <w:rFonts w:ascii="Calibri" w:hAnsi="Calibri" w:eastAsia="Microsoft YaHei"/>
                <w:b/>
                <w:color w:val="111111"/>
                <w:sz w:val="15"/>
              </w:rPr>
              <w:t>方法</w:t>
            </w:r>
          </w:p>
        </w:tc>
        <w:tc>
          <w:tcPr>
            <w:tcW w:type="dxa" w:w="90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val="clear" w:color="auto" w:fill="E8E8E8"/>
          </w:tcPr>
          <w:p>
            <w:pPr>
              <w:spacing w:before="0" w:after="0" w:line="252" w:lineRule="auto"/>
              <w:jc w:val="center"/>
            </w:pPr>
            <w:r>
              <w:rPr>
                <w:rFonts w:ascii="Calibri" w:hAnsi="Calibri" w:eastAsia="Microsoft YaHei"/>
                <w:b/>
                <w:color w:val="111111"/>
                <w:sz w:val="15"/>
              </w:rPr>
              <w:t>Macro F1</w:t>
            </w:r>
          </w:p>
        </w:tc>
        <w:tc>
          <w:tcPr>
            <w:tcW w:type="dxa" w:w="95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val="clear" w:color="auto" w:fill="E8E8E8"/>
          </w:tcPr>
          <w:p>
            <w:pPr>
              <w:spacing w:before="0" w:after="0" w:line="252" w:lineRule="auto"/>
              <w:jc w:val="center"/>
            </w:pPr>
            <w:r>
              <w:rPr>
                <w:rFonts w:ascii="Calibri" w:hAnsi="Calibri" w:eastAsia="Microsoft YaHei"/>
                <w:b/>
                <w:color w:val="111111"/>
                <w:sz w:val="15"/>
              </w:rPr>
              <w:t>第一层</w:t>
            </w:r>
          </w:p>
        </w:tc>
        <w:tc>
          <w:tcPr>
            <w:tcW w:type="dxa" w:w="95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val="clear" w:color="auto" w:fill="E8E8E8"/>
          </w:tcPr>
          <w:p>
            <w:pPr>
              <w:spacing w:before="0" w:after="0" w:line="252" w:lineRule="auto"/>
              <w:jc w:val="center"/>
            </w:pPr>
            <w:r>
              <w:rPr>
                <w:rFonts w:ascii="Calibri" w:hAnsi="Calibri" w:eastAsia="Microsoft YaHei"/>
                <w:b/>
                <w:color w:val="111111"/>
                <w:sz w:val="15"/>
              </w:rPr>
              <w:t>第二层</w:t>
            </w:r>
          </w:p>
        </w:tc>
        <w:tc>
          <w:tcPr>
            <w:tcW w:type="dxa" w:w="95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val="clear" w:color="auto" w:fill="E8E8E8"/>
          </w:tcPr>
          <w:p>
            <w:pPr>
              <w:spacing w:before="0" w:after="0" w:line="252" w:lineRule="auto"/>
              <w:jc w:val="center"/>
            </w:pPr>
            <w:r>
              <w:rPr>
                <w:rFonts w:ascii="Calibri" w:hAnsi="Calibri" w:eastAsia="Microsoft YaHei"/>
                <w:b/>
                <w:color w:val="111111"/>
                <w:sz w:val="15"/>
              </w:rPr>
              <w:t>第三层</w:t>
            </w:r>
          </w:p>
        </w:tc>
        <w:tc>
          <w:tcPr>
            <w:tcW w:type="dxa" w:w="160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val="clear" w:color="auto" w:fill="E8E8E8"/>
          </w:tcPr>
          <w:p>
            <w:pPr>
              <w:spacing w:before="0" w:after="0" w:line="252" w:lineRule="auto"/>
              <w:jc w:val="center"/>
            </w:pPr>
            <w:r>
              <w:rPr>
                <w:rFonts w:ascii="Calibri" w:hAnsi="Calibri" w:eastAsia="Microsoft YaHei"/>
                <w:b/>
                <w:color w:val="111111"/>
                <w:sz w:val="15"/>
              </w:rPr>
              <w:t>格式 / 覆盖</w:t>
            </w:r>
          </w:p>
        </w:tc>
        <w:tc>
          <w:tcPr>
            <w:tcW w:type="dxa" w:w="120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val="clear" w:color="auto" w:fill="E8E8E8"/>
          </w:tcPr>
          <w:p>
            <w:pPr>
              <w:spacing w:before="0" w:after="0" w:line="252" w:lineRule="auto"/>
              <w:jc w:val="center"/>
            </w:pPr>
            <w:r>
              <w:rPr>
                <w:rFonts w:ascii="Calibri" w:hAnsi="Calibri" w:eastAsia="Microsoft YaHei"/>
                <w:b/>
                <w:color w:val="111111"/>
                <w:sz w:val="15"/>
              </w:rPr>
              <w:t>平均耗时</w:t>
            </w:r>
          </w:p>
        </w:tc>
        <w:tc>
          <w:tcPr>
            <w:tcW w:type="dxa" w:w="131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val="clear" w:color="auto" w:fill="E8E8E8"/>
          </w:tcPr>
          <w:p>
            <w:pPr>
              <w:spacing w:before="0" w:after="0" w:line="252" w:lineRule="auto"/>
              <w:jc w:val="center"/>
            </w:pPr>
            <w:r>
              <w:rPr>
                <w:rFonts w:ascii="Calibri" w:hAnsi="Calibri" w:eastAsia="Microsoft YaHei"/>
                <w:b/>
                <w:color w:val="111111"/>
                <w:sz w:val="15"/>
              </w:rPr>
              <w:t>总成本</w:t>
            </w:r>
          </w:p>
        </w:tc>
      </w:tr>
      <w:tr>
        <w:tc>
          <w:tcPr>
            <w:tcW w:type="dxa" w:w="150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val="clear" w:color="auto" w:fill="F3F3F3"/>
          </w:tcPr>
          <w:p>
            <w:pPr>
              <w:spacing w:before="0" w:after="0" w:line="252" w:lineRule="auto"/>
              <w:jc w:val="left"/>
            </w:pPr>
            <w:r>
              <w:rPr>
                <w:rFonts w:ascii="Calibri" w:hAnsi="Calibri" w:eastAsia="Microsoft YaHei"/>
                <w:b w:val="0"/>
                <w:color w:val="111111"/>
                <w:sz w:val="15"/>
              </w:rPr>
              <w:t>FinRobot</w:t>
            </w:r>
          </w:p>
        </w:tc>
        <w:tc>
          <w:tcPr>
            <w:tcW w:type="dxa" w:w="90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val="clear" w:color="auto" w:fill="FFFFFF"/>
          </w:tcPr>
          <w:p>
            <w:pPr>
              <w:spacing w:before="0" w:after="0" w:line="252" w:lineRule="auto"/>
              <w:jc w:val="center"/>
            </w:pPr>
            <w:r>
              <w:rPr>
                <w:rFonts w:ascii="Calibri" w:hAnsi="Calibri" w:eastAsia="Microsoft YaHei"/>
                <w:b w:val="0"/>
                <w:color w:val="111111"/>
                <w:sz w:val="15"/>
              </w:rPr>
              <w:t>4.99%</w:t>
            </w:r>
          </w:p>
        </w:tc>
        <w:tc>
          <w:tcPr>
            <w:tcW w:type="dxa" w:w="95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val="clear" w:color="auto" w:fill="FFFFFF"/>
          </w:tcPr>
          <w:p>
            <w:pPr>
              <w:spacing w:before="0" w:after="0" w:line="252" w:lineRule="auto"/>
              <w:jc w:val="center"/>
            </w:pPr>
            <w:r>
              <w:rPr>
                <w:rFonts w:ascii="Calibri" w:hAnsi="Calibri" w:eastAsia="Microsoft YaHei"/>
                <w:b w:val="0"/>
                <w:color w:val="111111"/>
                <w:sz w:val="15"/>
              </w:rPr>
              <w:t>10.93%</w:t>
            </w:r>
          </w:p>
        </w:tc>
        <w:tc>
          <w:tcPr>
            <w:tcW w:type="dxa" w:w="95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val="clear" w:color="auto" w:fill="FFFFFF"/>
          </w:tcPr>
          <w:p>
            <w:pPr>
              <w:spacing w:before="0" w:after="0" w:line="252" w:lineRule="auto"/>
              <w:jc w:val="center"/>
            </w:pPr>
            <w:r>
              <w:rPr>
                <w:rFonts w:ascii="Calibri" w:hAnsi="Calibri" w:eastAsia="Microsoft YaHei"/>
                <w:b w:val="0"/>
                <w:color w:val="111111"/>
                <w:sz w:val="15"/>
              </w:rPr>
              <w:t>4.36%</w:t>
            </w:r>
          </w:p>
        </w:tc>
        <w:tc>
          <w:tcPr>
            <w:tcW w:type="dxa" w:w="95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val="clear" w:color="auto" w:fill="FFFFFF"/>
          </w:tcPr>
          <w:p>
            <w:pPr>
              <w:spacing w:before="0" w:after="0" w:line="252" w:lineRule="auto"/>
              <w:jc w:val="center"/>
            </w:pPr>
            <w:r>
              <w:rPr>
                <w:rFonts w:ascii="Calibri" w:hAnsi="Calibri" w:eastAsia="Microsoft YaHei"/>
                <w:b w:val="0"/>
                <w:color w:val="111111"/>
                <w:sz w:val="15"/>
              </w:rPr>
              <w:t>1.07%</w:t>
            </w:r>
          </w:p>
        </w:tc>
        <w:tc>
          <w:tcPr>
            <w:tcW w:type="dxa" w:w="160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val="clear" w:color="auto" w:fill="FFFFFF"/>
          </w:tcPr>
          <w:p>
            <w:pPr>
              <w:spacing w:before="0" w:after="0" w:line="252" w:lineRule="auto"/>
              <w:jc w:val="center"/>
            </w:pPr>
            <w:r>
              <w:rPr>
                <w:rFonts w:ascii="Calibri" w:hAnsi="Calibri" w:eastAsia="Microsoft YaHei"/>
                <w:b w:val="0"/>
                <w:color w:val="111111"/>
                <w:sz w:val="15"/>
              </w:rPr>
              <w:t>100% / 100%</w:t>
            </w:r>
          </w:p>
        </w:tc>
        <w:tc>
          <w:tcPr>
            <w:tcW w:type="dxa" w:w="120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val="clear" w:color="auto" w:fill="FFFFFF"/>
          </w:tcPr>
          <w:p>
            <w:pPr>
              <w:spacing w:before="0" w:after="0" w:line="252" w:lineRule="auto"/>
              <w:jc w:val="center"/>
            </w:pPr>
            <w:r>
              <w:rPr>
                <w:rFonts w:ascii="Calibri" w:hAnsi="Calibri" w:eastAsia="Microsoft YaHei"/>
                <w:b w:val="0"/>
                <w:color w:val="111111"/>
                <w:sz w:val="15"/>
              </w:rPr>
              <w:t>103.3 s/条</w:t>
            </w:r>
          </w:p>
        </w:tc>
        <w:tc>
          <w:tcPr>
            <w:tcW w:type="dxa" w:w="131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val="clear" w:color="auto" w:fill="FFFFFF"/>
          </w:tcPr>
          <w:p>
            <w:pPr>
              <w:spacing w:before="0" w:after="0" w:line="252" w:lineRule="auto"/>
              <w:jc w:val="center"/>
            </w:pPr>
            <w:r>
              <w:rPr>
                <w:rFonts w:ascii="Calibri" w:hAnsi="Calibri" w:eastAsia="Microsoft YaHei"/>
                <w:b w:val="0"/>
                <w:color w:val="111111"/>
                <w:sz w:val="15"/>
              </w:rPr>
              <w:t>9.05美元</w:t>
            </w:r>
          </w:p>
        </w:tc>
      </w:tr>
      <w:tr>
        <w:tc>
          <w:tcPr>
            <w:tcW w:type="dxa" w:w="150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val="clear" w:color="auto" w:fill="F3F3F3"/>
          </w:tcPr>
          <w:p>
            <w:pPr>
              <w:spacing w:before="0" w:after="0" w:line="252" w:lineRule="auto"/>
              <w:jc w:val="left"/>
            </w:pPr>
            <w:r>
              <w:rPr>
                <w:rFonts w:ascii="Calibri" w:hAnsi="Calibri" w:eastAsia="Microsoft YaHei"/>
                <w:b w:val="0"/>
                <w:color w:val="111111"/>
                <w:sz w:val="15"/>
              </w:rPr>
              <w:t>Dexter</w:t>
            </w:r>
          </w:p>
        </w:tc>
        <w:tc>
          <w:tcPr>
            <w:tcW w:type="dxa" w:w="90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val="clear" w:color="auto" w:fill="FFFFFF"/>
          </w:tcPr>
          <w:p>
            <w:pPr>
              <w:spacing w:before="0" w:after="0" w:line="252" w:lineRule="auto"/>
              <w:jc w:val="center"/>
            </w:pPr>
            <w:r>
              <w:rPr>
                <w:rFonts w:ascii="Calibri" w:hAnsi="Calibri" w:eastAsia="Microsoft YaHei"/>
                <w:b w:val="0"/>
                <w:color w:val="111111"/>
                <w:sz w:val="15"/>
              </w:rPr>
              <w:t>8.46%</w:t>
            </w:r>
          </w:p>
        </w:tc>
        <w:tc>
          <w:tcPr>
            <w:tcW w:type="dxa" w:w="95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val="clear" w:color="auto" w:fill="FFFFFF"/>
          </w:tcPr>
          <w:p>
            <w:pPr>
              <w:spacing w:before="0" w:after="0" w:line="252" w:lineRule="auto"/>
              <w:jc w:val="center"/>
            </w:pPr>
            <w:r>
              <w:rPr>
                <w:rFonts w:ascii="Calibri" w:hAnsi="Calibri" w:eastAsia="Microsoft YaHei"/>
                <w:b w:val="0"/>
                <w:color w:val="111111"/>
                <w:sz w:val="15"/>
              </w:rPr>
              <w:t>12.16%</w:t>
            </w:r>
          </w:p>
        </w:tc>
        <w:tc>
          <w:tcPr>
            <w:tcW w:type="dxa" w:w="95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val="clear" w:color="auto" w:fill="FFFFFF"/>
          </w:tcPr>
          <w:p>
            <w:pPr>
              <w:spacing w:before="0" w:after="0" w:line="252" w:lineRule="auto"/>
              <w:jc w:val="center"/>
            </w:pPr>
            <w:r>
              <w:rPr>
                <w:rFonts w:ascii="Calibri" w:hAnsi="Calibri" w:eastAsia="Microsoft YaHei"/>
                <w:b w:val="0"/>
                <w:color w:val="111111"/>
                <w:sz w:val="15"/>
              </w:rPr>
              <w:t>4.28%</w:t>
            </w:r>
          </w:p>
        </w:tc>
        <w:tc>
          <w:tcPr>
            <w:tcW w:type="dxa" w:w="95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val="clear" w:color="auto" w:fill="FFFFFF"/>
          </w:tcPr>
          <w:p>
            <w:pPr>
              <w:spacing w:before="0" w:after="0" w:line="252" w:lineRule="auto"/>
              <w:jc w:val="center"/>
            </w:pPr>
            <w:r>
              <w:rPr>
                <w:rFonts w:ascii="Calibri" w:hAnsi="Calibri" w:eastAsia="Microsoft YaHei"/>
                <w:b w:val="0"/>
                <w:color w:val="111111"/>
                <w:sz w:val="15"/>
              </w:rPr>
              <w:t>8.42%</w:t>
            </w:r>
          </w:p>
        </w:tc>
        <w:tc>
          <w:tcPr>
            <w:tcW w:type="dxa" w:w="160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val="clear" w:color="auto" w:fill="FFFFFF"/>
          </w:tcPr>
          <w:p>
            <w:pPr>
              <w:spacing w:before="0" w:after="0" w:line="252" w:lineRule="auto"/>
              <w:jc w:val="center"/>
            </w:pPr>
            <w:r>
              <w:rPr>
                <w:rFonts w:ascii="Calibri" w:hAnsi="Calibri" w:eastAsia="Microsoft YaHei"/>
                <w:b w:val="0"/>
                <w:color w:val="111111"/>
                <w:sz w:val="15"/>
              </w:rPr>
              <w:t>100% / 99.92%</w:t>
            </w:r>
          </w:p>
        </w:tc>
        <w:tc>
          <w:tcPr>
            <w:tcW w:type="dxa" w:w="120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val="clear" w:color="auto" w:fill="FFFFFF"/>
          </w:tcPr>
          <w:p>
            <w:pPr>
              <w:spacing w:before="0" w:after="0" w:line="252" w:lineRule="auto"/>
              <w:jc w:val="center"/>
            </w:pPr>
            <w:r>
              <w:rPr>
                <w:rFonts w:ascii="Calibri" w:hAnsi="Calibri" w:eastAsia="Microsoft YaHei"/>
                <w:b w:val="0"/>
                <w:color w:val="111111"/>
                <w:sz w:val="15"/>
              </w:rPr>
              <w:t>109.0 s/条</w:t>
            </w:r>
          </w:p>
        </w:tc>
        <w:tc>
          <w:tcPr>
            <w:tcW w:type="dxa" w:w="131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val="clear" w:color="auto" w:fill="FFFFFF"/>
          </w:tcPr>
          <w:p>
            <w:pPr>
              <w:spacing w:before="0" w:after="0" w:line="252" w:lineRule="auto"/>
              <w:jc w:val="center"/>
            </w:pPr>
            <w:r>
              <w:rPr>
                <w:rFonts w:ascii="Calibri" w:hAnsi="Calibri" w:eastAsia="Microsoft YaHei"/>
                <w:b w:val="0"/>
                <w:color w:val="111111"/>
                <w:sz w:val="15"/>
              </w:rPr>
              <w:t>9.71美元</w:t>
            </w:r>
          </w:p>
        </w:tc>
      </w:tr>
      <w:tr>
        <w:tc>
          <w:tcPr>
            <w:tcW w:type="dxa" w:w="150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val="clear" w:color="auto" w:fill="F3F3F3"/>
          </w:tcPr>
          <w:p>
            <w:pPr>
              <w:spacing w:before="0" w:after="0" w:line="252" w:lineRule="auto"/>
              <w:jc w:val="left"/>
            </w:pPr>
            <w:r>
              <w:rPr>
                <w:rFonts w:ascii="Calibri" w:hAnsi="Calibri" w:eastAsia="Microsoft YaHei"/>
                <w:b w:val="0"/>
                <w:color w:val="111111"/>
                <w:sz w:val="15"/>
              </w:rPr>
              <w:t>TradingAgents</w:t>
            </w:r>
          </w:p>
        </w:tc>
        <w:tc>
          <w:tcPr>
            <w:tcW w:type="dxa" w:w="90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val="clear" w:color="auto" w:fill="FFFFFF"/>
          </w:tcPr>
          <w:p>
            <w:pPr>
              <w:spacing w:before="0" w:after="0" w:line="252" w:lineRule="auto"/>
              <w:jc w:val="center"/>
            </w:pPr>
            <w:r>
              <w:rPr>
                <w:rFonts w:ascii="Calibri" w:hAnsi="Calibri" w:eastAsia="Microsoft YaHei"/>
                <w:b w:val="0"/>
                <w:color w:val="111111"/>
                <w:sz w:val="15"/>
              </w:rPr>
              <w:t>5.01%</w:t>
            </w:r>
          </w:p>
        </w:tc>
        <w:tc>
          <w:tcPr>
            <w:tcW w:type="dxa" w:w="95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val="clear" w:color="auto" w:fill="FFFFFF"/>
          </w:tcPr>
          <w:p>
            <w:pPr>
              <w:spacing w:before="0" w:after="0" w:line="252" w:lineRule="auto"/>
              <w:jc w:val="center"/>
            </w:pPr>
            <w:r>
              <w:rPr>
                <w:rFonts w:ascii="Calibri" w:hAnsi="Calibri" w:eastAsia="Microsoft YaHei"/>
                <w:b w:val="0"/>
                <w:color w:val="111111"/>
                <w:sz w:val="15"/>
              </w:rPr>
              <w:t>10.54%</w:t>
            </w:r>
          </w:p>
        </w:tc>
        <w:tc>
          <w:tcPr>
            <w:tcW w:type="dxa" w:w="95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val="clear" w:color="auto" w:fill="FFFFFF"/>
          </w:tcPr>
          <w:p>
            <w:pPr>
              <w:spacing w:before="0" w:after="0" w:line="252" w:lineRule="auto"/>
              <w:jc w:val="center"/>
            </w:pPr>
            <w:r>
              <w:rPr>
                <w:rFonts w:ascii="Calibri" w:hAnsi="Calibri" w:eastAsia="Microsoft YaHei"/>
                <w:b w:val="0"/>
                <w:color w:val="111111"/>
                <w:sz w:val="15"/>
              </w:rPr>
              <w:t>3.30%</w:t>
            </w:r>
          </w:p>
        </w:tc>
        <w:tc>
          <w:tcPr>
            <w:tcW w:type="dxa" w:w="95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val="clear" w:color="auto" w:fill="FFFFFF"/>
          </w:tcPr>
          <w:p>
            <w:pPr>
              <w:spacing w:before="0" w:after="0" w:line="252" w:lineRule="auto"/>
              <w:jc w:val="center"/>
            </w:pPr>
            <w:r>
              <w:rPr>
                <w:rFonts w:ascii="Calibri" w:hAnsi="Calibri" w:eastAsia="Microsoft YaHei"/>
                <w:b w:val="0"/>
                <w:color w:val="111111"/>
                <w:sz w:val="15"/>
              </w:rPr>
              <w:t>2.08%</w:t>
            </w:r>
          </w:p>
        </w:tc>
        <w:tc>
          <w:tcPr>
            <w:tcW w:type="dxa" w:w="160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val="clear" w:color="auto" w:fill="FFFFFF"/>
          </w:tcPr>
          <w:p>
            <w:pPr>
              <w:spacing w:before="0" w:after="0" w:line="252" w:lineRule="auto"/>
              <w:jc w:val="center"/>
            </w:pPr>
            <w:r>
              <w:rPr>
                <w:rFonts w:ascii="Calibri" w:hAnsi="Calibri" w:eastAsia="Microsoft YaHei"/>
                <w:b w:val="0"/>
                <w:color w:val="111111"/>
                <w:sz w:val="15"/>
              </w:rPr>
              <w:t>96% / 100%</w:t>
            </w:r>
          </w:p>
        </w:tc>
        <w:tc>
          <w:tcPr>
            <w:tcW w:type="dxa" w:w="120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val="clear" w:color="auto" w:fill="FFFFFF"/>
          </w:tcPr>
          <w:p>
            <w:pPr>
              <w:spacing w:before="0" w:after="0" w:line="252" w:lineRule="auto"/>
              <w:jc w:val="center"/>
            </w:pPr>
            <w:r>
              <w:rPr>
                <w:rFonts w:ascii="Calibri" w:hAnsi="Calibri" w:eastAsia="Microsoft YaHei"/>
                <w:b w:val="0"/>
                <w:color w:val="111111"/>
                <w:sz w:val="15"/>
              </w:rPr>
              <w:t>117.6 s/条</w:t>
            </w:r>
          </w:p>
        </w:tc>
        <w:tc>
          <w:tcPr>
            <w:tcW w:type="dxa" w:w="131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val="clear" w:color="auto" w:fill="FFFFFF"/>
          </w:tcPr>
          <w:p>
            <w:pPr>
              <w:spacing w:before="0" w:after="0" w:line="252" w:lineRule="auto"/>
              <w:jc w:val="center"/>
            </w:pPr>
            <w:r>
              <w:rPr>
                <w:rFonts w:ascii="Calibri" w:hAnsi="Calibri" w:eastAsia="Microsoft YaHei"/>
                <w:b w:val="0"/>
                <w:color w:val="111111"/>
                <w:sz w:val="15"/>
              </w:rPr>
              <w:t>10.72美元</w:t>
            </w:r>
          </w:p>
        </w:tc>
      </w:tr>
    </w:tbl>
    <w:p>
      <w:pPr>
        <w:spacing w:before="80" w:after="160"/>
        <w:jc w:val="center"/>
      </w:pPr>
      <w:r>
        <w:rPr>
          <w:rFonts w:ascii="Calibri" w:hAnsi="Calibri" w:eastAsia="Microsoft YaHei"/>
          <w:color w:val="666666"/>
          <w:sz w:val="18"/>
        </w:rPr>
        <w:t>表1  三种金融智能体的内容指标与运行成本</w:t>
      </w:r>
    </w:p>
    <w:p>
      <w:pPr>
        <w:spacing w:before="120" w:after="200" w:line="269" w:lineRule="auto"/>
        <w:ind w:left="200" w:right="200"/>
        <w:shd w:val="clear" w:fill="F3F3F3"/>
        <w:pBdr>
          <w:left w:val="single" w:sz="18" w:space="10" w:color="555555"/>
        </w:pBdr>
      </w:pPr>
      <w:r>
        <w:rPr>
          <w:rFonts w:ascii="Calibri" w:hAnsi="Calibri" w:eastAsia="Microsoft YaHei"/>
          <w:b/>
          <w:color w:val="111111"/>
          <w:sz w:val="21"/>
        </w:rPr>
        <w:t xml:space="preserve">结果解释  </w:t>
      </w:r>
      <w:r>
        <w:rPr>
          <w:rFonts w:ascii="Calibri" w:hAnsi="Calibri" w:eastAsia="Microsoft YaHei"/>
          <w:color w:val="111111"/>
          <w:sz w:val="21"/>
        </w:rPr>
        <w:t>Dexter的Macro F1为8.46%，是三种流程中最高；TradingAgents因角色讨论步骤更多，平均调用次数、耗时和总成本最高。综合健康度的旧兼容指标不纳入此处结论。</w:t>
      </w:r>
    </w:p>
    <w:p>
      <w:r>
        <w:br w:type="page"/>
      </w:r>
    </w:p>
    <w:p>
      <w:pPr>
        <w:spacing w:after="100"/>
        <w:jc w:val="left"/>
      </w:pPr>
      <w:r>
        <w:rPr>
          <w:rFonts w:ascii="Calibri" w:hAnsi="Calibri" w:eastAsia="Microsoft YaHei"/>
          <w:b/>
          <w:caps/>
          <w:color w:val="555555"/>
          <w:sz w:val="19"/>
        </w:rPr>
        <w:t>02 · MODEL COMPARISON</w:t>
      </w:r>
    </w:p>
    <w:p>
      <w:pPr>
        <w:pStyle w:val="Heading1"/>
        <w:keepNext/>
      </w:pPr>
      <w:r>
        <w:t>Baseline、Prompt、QLoRA与LoRA比较</w:t>
      </w:r>
    </w:p>
    <w:p>
      <w:pPr>
        <w:spacing w:after="120"/>
        <w:jc w:val="both"/>
      </w:pPr>
      <w:r>
        <w:rPr>
          <w:rFonts w:ascii="Calibri" w:hAnsi="Calibri" w:eastAsia="Microsoft YaHei"/>
          <w:color w:val="111111"/>
        </w:rPr>
        <w:t>四种方法使用同一企业级数据划分和同一评分口径。等级准确率、平衡准确率与Macro F1反映分类能力，MAE和RMSE反映连续CFHS分数与目标值之间的偏差。</w:t>
      </w:r>
    </w:p>
    <w:p>
      <w:pPr>
        <w:spacing w:before="40" w:after="0"/>
        <w:jc w:val="center"/>
      </w:pPr>
      <w:r>
        <w:drawing>
          <wp:inline xmlns:a="http://schemas.openxmlformats.org/drawingml/2006/main" xmlns:pic="http://schemas.openxmlformats.org/drawingml/2006/picture">
            <wp:extent cx="5623560" cy="2569566"/>
            <wp:docPr id="2" name="Picture 2" title="四种模型分类与分数误差比较" descr="Baseline、Prompt、QLoRA和LoRA的分类指标、MAE与RMSE彩色比较图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models_color.png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623560" cy="2569566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spacing w:before="80" w:after="160"/>
        <w:jc w:val="center"/>
      </w:pPr>
      <w:r>
        <w:rPr>
          <w:rFonts w:ascii="Calibri" w:hAnsi="Calibri" w:eastAsia="Microsoft YaHei"/>
          <w:color w:val="666666"/>
          <w:sz w:val="18"/>
        </w:rPr>
        <w:t>图2  四种模型的分类能力与CFHS分数误差</w:t>
      </w:r>
    </w:p>
    <w:tbl>
      <w:tblPr>
        <w:tblW w:type="dxa" w:w="9360"/>
        <w:jc w:val="left"/>
        <w:tblLayout w:type="fixed"/>
        <w:tblLook w:firstColumn="1" w:firstRow="1" w:lastColumn="0" w:lastRow="0" w:noHBand="0" w:noVBand="1" w:val="04A0"/>
        <w:tblInd w:w="120" w:type="dxa"/>
        <w:tblBorders>
          <w:top w:val="single" w:sz="6" w:space="0" w:color="C8C8C8"/>
          <w:left w:val="single" w:sz="6" w:space="0" w:color="C8C8C8"/>
          <w:bottom w:val="single" w:sz="6" w:space="0" w:color="C8C8C8"/>
          <w:right w:val="single" w:sz="6" w:space="0" w:color="C8C8C8"/>
          <w:insideH w:val="single" w:sz="6" w:space="0" w:color="C8C8C8"/>
          <w:insideV w:val="single" w:sz="6" w:space="0" w:color="C8C8C8"/>
        </w:tblBorders>
      </w:tblPr>
      <w:tblGrid>
        <w:gridCol w:w="1500"/>
        <w:gridCol w:w="1150"/>
        <w:gridCol w:w="1450"/>
        <w:gridCol w:w="1450"/>
        <w:gridCol w:w="1350"/>
        <w:gridCol w:w="1230"/>
        <w:gridCol w:w="1230"/>
      </w:tblGrid>
      <w:tr>
        <w:trPr>
          <w:tblHeader w:val="true"/>
        </w:trPr>
        <w:tc>
          <w:tcPr>
            <w:tcW w:type="dxa" w:w="150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val="clear" w:color="auto" w:fill="E8E8E8"/>
          </w:tcPr>
          <w:p>
            <w:pPr>
              <w:spacing w:before="0" w:after="0" w:line="252" w:lineRule="auto"/>
              <w:jc w:val="center"/>
            </w:pPr>
            <w:r>
              <w:rPr>
                <w:rFonts w:ascii="Calibri" w:hAnsi="Calibri" w:eastAsia="Microsoft YaHei"/>
                <w:b/>
                <w:color w:val="111111"/>
                <w:sz w:val="16"/>
              </w:rPr>
              <w:t>方法</w:t>
            </w:r>
          </w:p>
        </w:tc>
        <w:tc>
          <w:tcPr>
            <w:tcW w:type="dxa" w:w="115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val="clear" w:color="auto" w:fill="E8E8E8"/>
          </w:tcPr>
          <w:p>
            <w:pPr>
              <w:spacing w:before="0" w:after="0" w:line="252" w:lineRule="auto"/>
              <w:jc w:val="center"/>
            </w:pPr>
            <w:r>
              <w:rPr>
                <w:rFonts w:ascii="Calibri" w:hAnsi="Calibri" w:eastAsia="Microsoft YaHei"/>
                <w:b/>
                <w:color w:val="111111"/>
                <w:sz w:val="16"/>
              </w:rPr>
              <w:t>解析率</w:t>
            </w:r>
          </w:p>
        </w:tc>
        <w:tc>
          <w:tcPr>
            <w:tcW w:type="dxa" w:w="145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val="clear" w:color="auto" w:fill="E8E8E8"/>
          </w:tcPr>
          <w:p>
            <w:pPr>
              <w:spacing w:before="0" w:after="0" w:line="252" w:lineRule="auto"/>
              <w:jc w:val="center"/>
            </w:pPr>
            <w:r>
              <w:rPr>
                <w:rFonts w:ascii="Calibri" w:hAnsi="Calibri" w:eastAsia="Microsoft YaHei"/>
                <w:b/>
                <w:color w:val="111111"/>
                <w:sz w:val="16"/>
              </w:rPr>
              <w:t>等级准确率</w:t>
            </w:r>
          </w:p>
        </w:tc>
        <w:tc>
          <w:tcPr>
            <w:tcW w:type="dxa" w:w="145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val="clear" w:color="auto" w:fill="E8E8E8"/>
          </w:tcPr>
          <w:p>
            <w:pPr>
              <w:spacing w:before="0" w:after="0" w:line="252" w:lineRule="auto"/>
              <w:jc w:val="center"/>
            </w:pPr>
            <w:r>
              <w:rPr>
                <w:rFonts w:ascii="Calibri" w:hAnsi="Calibri" w:eastAsia="Microsoft YaHei"/>
                <w:b/>
                <w:color w:val="111111"/>
                <w:sz w:val="16"/>
              </w:rPr>
              <w:t>平衡准确率</w:t>
            </w:r>
          </w:p>
        </w:tc>
        <w:tc>
          <w:tcPr>
            <w:tcW w:type="dxa" w:w="135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val="clear" w:color="auto" w:fill="E8E8E8"/>
          </w:tcPr>
          <w:p>
            <w:pPr>
              <w:spacing w:before="0" w:after="0" w:line="252" w:lineRule="auto"/>
              <w:jc w:val="center"/>
            </w:pPr>
            <w:r>
              <w:rPr>
                <w:rFonts w:ascii="Calibri" w:hAnsi="Calibri" w:eastAsia="Microsoft YaHei"/>
                <w:b/>
                <w:color w:val="111111"/>
                <w:sz w:val="16"/>
              </w:rPr>
              <w:t>Macro F1</w:t>
            </w:r>
          </w:p>
        </w:tc>
        <w:tc>
          <w:tcPr>
            <w:tcW w:type="dxa" w:w="123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val="clear" w:color="auto" w:fill="E8E8E8"/>
          </w:tcPr>
          <w:p>
            <w:pPr>
              <w:spacing w:before="0" w:after="0" w:line="252" w:lineRule="auto"/>
              <w:jc w:val="center"/>
            </w:pPr>
            <w:r>
              <w:rPr>
                <w:rFonts w:ascii="Calibri" w:hAnsi="Calibri" w:eastAsia="Microsoft YaHei"/>
                <w:b/>
                <w:color w:val="111111"/>
                <w:sz w:val="16"/>
              </w:rPr>
              <w:t>MAE</w:t>
            </w:r>
          </w:p>
        </w:tc>
        <w:tc>
          <w:tcPr>
            <w:tcW w:type="dxa" w:w="123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val="clear" w:color="auto" w:fill="E8E8E8"/>
          </w:tcPr>
          <w:p>
            <w:pPr>
              <w:spacing w:before="0" w:after="0" w:line="252" w:lineRule="auto"/>
              <w:jc w:val="center"/>
            </w:pPr>
            <w:r>
              <w:rPr>
                <w:rFonts w:ascii="Calibri" w:hAnsi="Calibri" w:eastAsia="Microsoft YaHei"/>
                <w:b/>
                <w:color w:val="111111"/>
                <w:sz w:val="16"/>
              </w:rPr>
              <w:t>RMSE</w:t>
            </w:r>
          </w:p>
        </w:tc>
      </w:tr>
      <w:tr>
        <w:tc>
          <w:tcPr>
            <w:tcW w:type="dxa" w:w="150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val="clear" w:color="auto" w:fill="F3F3F3"/>
          </w:tcPr>
          <w:p>
            <w:pPr>
              <w:spacing w:before="0" w:after="0" w:line="252" w:lineRule="auto"/>
              <w:jc w:val="left"/>
            </w:pPr>
            <w:r>
              <w:rPr>
                <w:rFonts w:ascii="Calibri" w:hAnsi="Calibri" w:eastAsia="Microsoft YaHei"/>
                <w:b w:val="0"/>
                <w:color w:val="111111"/>
                <w:sz w:val="16"/>
              </w:rPr>
              <w:t>Baseline</w:t>
            </w:r>
          </w:p>
        </w:tc>
        <w:tc>
          <w:tcPr>
            <w:tcW w:type="dxa" w:w="115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val="clear" w:color="auto" w:fill="FFFFFF"/>
          </w:tcPr>
          <w:p>
            <w:pPr>
              <w:spacing w:before="0" w:after="0" w:line="252" w:lineRule="auto"/>
              <w:jc w:val="center"/>
            </w:pPr>
            <w:r>
              <w:rPr>
                <w:rFonts w:ascii="Calibri" w:hAnsi="Calibri" w:eastAsia="Microsoft YaHei"/>
                <w:b w:val="0"/>
                <w:color w:val="111111"/>
                <w:sz w:val="16"/>
              </w:rPr>
              <w:t>100%</w:t>
            </w:r>
          </w:p>
        </w:tc>
        <w:tc>
          <w:tcPr>
            <w:tcW w:type="dxa" w:w="145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val="clear" w:color="auto" w:fill="FFFFFF"/>
          </w:tcPr>
          <w:p>
            <w:pPr>
              <w:spacing w:before="0" w:after="0" w:line="252" w:lineRule="auto"/>
              <w:jc w:val="center"/>
            </w:pPr>
            <w:r>
              <w:rPr>
                <w:rFonts w:ascii="Calibri" w:hAnsi="Calibri" w:eastAsia="Microsoft YaHei"/>
                <w:b w:val="0"/>
                <w:color w:val="111111"/>
                <w:sz w:val="16"/>
              </w:rPr>
              <w:t>50.00%</w:t>
            </w:r>
          </w:p>
        </w:tc>
        <w:tc>
          <w:tcPr>
            <w:tcW w:type="dxa" w:w="145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val="clear" w:color="auto" w:fill="FFFFFF"/>
          </w:tcPr>
          <w:p>
            <w:pPr>
              <w:spacing w:before="0" w:after="0" w:line="252" w:lineRule="auto"/>
              <w:jc w:val="center"/>
            </w:pPr>
            <w:r>
              <w:rPr>
                <w:rFonts w:ascii="Calibri" w:hAnsi="Calibri" w:eastAsia="Microsoft YaHei"/>
                <w:b w:val="0"/>
                <w:color w:val="111111"/>
                <w:sz w:val="16"/>
              </w:rPr>
              <w:t>45.83%</w:t>
            </w:r>
          </w:p>
        </w:tc>
        <w:tc>
          <w:tcPr>
            <w:tcW w:type="dxa" w:w="135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val="clear" w:color="auto" w:fill="FFFFFF"/>
          </w:tcPr>
          <w:p>
            <w:pPr>
              <w:spacing w:before="0" w:after="0" w:line="252" w:lineRule="auto"/>
              <w:jc w:val="center"/>
            </w:pPr>
            <w:r>
              <w:rPr>
                <w:rFonts w:ascii="Calibri" w:hAnsi="Calibri" w:eastAsia="Microsoft YaHei"/>
                <w:b w:val="0"/>
                <w:color w:val="111111"/>
                <w:sz w:val="16"/>
              </w:rPr>
              <w:t>41.87%</w:t>
            </w:r>
          </w:p>
        </w:tc>
        <w:tc>
          <w:tcPr>
            <w:tcW w:type="dxa" w:w="123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val="clear" w:color="auto" w:fill="FFFFFF"/>
          </w:tcPr>
          <w:p>
            <w:pPr>
              <w:spacing w:before="0" w:after="0" w:line="252" w:lineRule="auto"/>
              <w:jc w:val="center"/>
            </w:pPr>
            <w:r>
              <w:rPr>
                <w:rFonts w:ascii="Calibri" w:hAnsi="Calibri" w:eastAsia="Microsoft YaHei"/>
                <w:b w:val="0"/>
                <w:color w:val="111111"/>
                <w:sz w:val="16"/>
              </w:rPr>
              <w:t>11.06</w:t>
            </w:r>
          </w:p>
        </w:tc>
        <w:tc>
          <w:tcPr>
            <w:tcW w:type="dxa" w:w="123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val="clear" w:color="auto" w:fill="FFFFFF"/>
          </w:tcPr>
          <w:p>
            <w:pPr>
              <w:spacing w:before="0" w:after="0" w:line="252" w:lineRule="auto"/>
              <w:jc w:val="center"/>
            </w:pPr>
            <w:r>
              <w:rPr>
                <w:rFonts w:ascii="Calibri" w:hAnsi="Calibri" w:eastAsia="Microsoft YaHei"/>
                <w:b w:val="0"/>
                <w:color w:val="111111"/>
                <w:sz w:val="16"/>
              </w:rPr>
              <w:t>12.11</w:t>
            </w:r>
          </w:p>
        </w:tc>
      </w:tr>
      <w:tr>
        <w:tc>
          <w:tcPr>
            <w:tcW w:type="dxa" w:w="150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val="clear" w:color="auto" w:fill="F3F3F3"/>
          </w:tcPr>
          <w:p>
            <w:pPr>
              <w:spacing w:before="0" w:after="0" w:line="252" w:lineRule="auto"/>
              <w:jc w:val="left"/>
            </w:pPr>
            <w:r>
              <w:rPr>
                <w:rFonts w:ascii="Calibri" w:hAnsi="Calibri" w:eastAsia="Microsoft YaHei"/>
                <w:b w:val="0"/>
                <w:color w:val="111111"/>
                <w:sz w:val="16"/>
              </w:rPr>
              <w:t>Prompt</w:t>
            </w:r>
          </w:p>
        </w:tc>
        <w:tc>
          <w:tcPr>
            <w:tcW w:type="dxa" w:w="115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val="clear" w:color="auto" w:fill="FFFFFF"/>
          </w:tcPr>
          <w:p>
            <w:pPr>
              <w:spacing w:before="0" w:after="0" w:line="252" w:lineRule="auto"/>
              <w:jc w:val="center"/>
            </w:pPr>
            <w:r>
              <w:rPr>
                <w:rFonts w:ascii="Calibri" w:hAnsi="Calibri" w:eastAsia="Microsoft YaHei"/>
                <w:b w:val="0"/>
                <w:color w:val="111111"/>
                <w:sz w:val="16"/>
              </w:rPr>
              <w:t>100%</w:t>
            </w:r>
          </w:p>
        </w:tc>
        <w:tc>
          <w:tcPr>
            <w:tcW w:type="dxa" w:w="145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val="clear" w:color="auto" w:fill="FFFFFF"/>
          </w:tcPr>
          <w:p>
            <w:pPr>
              <w:spacing w:before="0" w:after="0" w:line="252" w:lineRule="auto"/>
              <w:jc w:val="center"/>
            </w:pPr>
            <w:r>
              <w:rPr>
                <w:rFonts w:ascii="Calibri" w:hAnsi="Calibri" w:eastAsia="Microsoft YaHei"/>
                <w:b w:val="0"/>
                <w:color w:val="111111"/>
                <w:sz w:val="16"/>
              </w:rPr>
              <w:t>50.00%</w:t>
            </w:r>
          </w:p>
        </w:tc>
        <w:tc>
          <w:tcPr>
            <w:tcW w:type="dxa" w:w="145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val="clear" w:color="auto" w:fill="FFFFFF"/>
          </w:tcPr>
          <w:p>
            <w:pPr>
              <w:spacing w:before="0" w:after="0" w:line="252" w:lineRule="auto"/>
              <w:jc w:val="center"/>
            </w:pPr>
            <w:r>
              <w:rPr>
                <w:rFonts w:ascii="Calibri" w:hAnsi="Calibri" w:eastAsia="Microsoft YaHei"/>
                <w:b w:val="0"/>
                <w:color w:val="111111"/>
                <w:sz w:val="16"/>
              </w:rPr>
              <w:t>45.83%</w:t>
            </w:r>
          </w:p>
        </w:tc>
        <w:tc>
          <w:tcPr>
            <w:tcW w:type="dxa" w:w="135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val="clear" w:color="auto" w:fill="FFFFFF"/>
          </w:tcPr>
          <w:p>
            <w:pPr>
              <w:spacing w:before="0" w:after="0" w:line="252" w:lineRule="auto"/>
              <w:jc w:val="center"/>
            </w:pPr>
            <w:r>
              <w:rPr>
                <w:rFonts w:ascii="Calibri" w:hAnsi="Calibri" w:eastAsia="Microsoft YaHei"/>
                <w:b w:val="0"/>
                <w:color w:val="111111"/>
                <w:sz w:val="16"/>
              </w:rPr>
              <w:t>43.06%</w:t>
            </w:r>
          </w:p>
        </w:tc>
        <w:tc>
          <w:tcPr>
            <w:tcW w:type="dxa" w:w="123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val="clear" w:color="auto" w:fill="FFFFFF"/>
          </w:tcPr>
          <w:p>
            <w:pPr>
              <w:spacing w:before="0" w:after="0" w:line="252" w:lineRule="auto"/>
              <w:jc w:val="center"/>
            </w:pPr>
            <w:r>
              <w:rPr>
                <w:rFonts w:ascii="Calibri" w:hAnsi="Calibri" w:eastAsia="Microsoft YaHei"/>
                <w:b w:val="0"/>
                <w:color w:val="111111"/>
                <w:sz w:val="16"/>
              </w:rPr>
              <w:t>7.26</w:t>
            </w:r>
          </w:p>
        </w:tc>
        <w:tc>
          <w:tcPr>
            <w:tcW w:type="dxa" w:w="123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val="clear" w:color="auto" w:fill="FFFFFF"/>
          </w:tcPr>
          <w:p>
            <w:pPr>
              <w:spacing w:before="0" w:after="0" w:line="252" w:lineRule="auto"/>
              <w:jc w:val="center"/>
            </w:pPr>
            <w:r>
              <w:rPr>
                <w:rFonts w:ascii="Calibri" w:hAnsi="Calibri" w:eastAsia="Microsoft YaHei"/>
                <w:b w:val="0"/>
                <w:color w:val="111111"/>
                <w:sz w:val="16"/>
              </w:rPr>
              <w:t>8.79</w:t>
            </w:r>
          </w:p>
        </w:tc>
      </w:tr>
      <w:tr>
        <w:tc>
          <w:tcPr>
            <w:tcW w:type="dxa" w:w="150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val="clear" w:color="auto" w:fill="F3F3F3"/>
          </w:tcPr>
          <w:p>
            <w:pPr>
              <w:spacing w:before="0" w:after="0" w:line="252" w:lineRule="auto"/>
              <w:jc w:val="left"/>
            </w:pPr>
            <w:r>
              <w:rPr>
                <w:rFonts w:ascii="Calibri" w:hAnsi="Calibri" w:eastAsia="Microsoft YaHei"/>
                <w:b w:val="0"/>
                <w:color w:val="111111"/>
                <w:sz w:val="16"/>
              </w:rPr>
              <w:t>QLoRA</w:t>
            </w:r>
          </w:p>
        </w:tc>
        <w:tc>
          <w:tcPr>
            <w:tcW w:type="dxa" w:w="115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val="clear" w:color="auto" w:fill="FFFFFF"/>
          </w:tcPr>
          <w:p>
            <w:pPr>
              <w:spacing w:before="0" w:after="0" w:line="252" w:lineRule="auto"/>
              <w:jc w:val="center"/>
            </w:pPr>
            <w:r>
              <w:rPr>
                <w:rFonts w:ascii="Calibri" w:hAnsi="Calibri" w:eastAsia="Microsoft YaHei"/>
                <w:b w:val="0"/>
                <w:color w:val="111111"/>
                <w:sz w:val="16"/>
              </w:rPr>
              <w:t>100%</w:t>
            </w:r>
          </w:p>
        </w:tc>
        <w:tc>
          <w:tcPr>
            <w:tcW w:type="dxa" w:w="145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val="clear" w:color="auto" w:fill="FFFFFF"/>
          </w:tcPr>
          <w:p>
            <w:pPr>
              <w:spacing w:before="0" w:after="0" w:line="252" w:lineRule="auto"/>
              <w:jc w:val="center"/>
            </w:pPr>
            <w:r>
              <w:rPr>
                <w:rFonts w:ascii="Calibri" w:hAnsi="Calibri" w:eastAsia="Microsoft YaHei"/>
                <w:b w:val="0"/>
                <w:color w:val="111111"/>
                <w:sz w:val="16"/>
              </w:rPr>
              <w:t>83.33%</w:t>
            </w:r>
          </w:p>
        </w:tc>
        <w:tc>
          <w:tcPr>
            <w:tcW w:type="dxa" w:w="145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val="clear" w:color="auto" w:fill="FFFFFF"/>
          </w:tcPr>
          <w:p>
            <w:pPr>
              <w:spacing w:before="0" w:after="0" w:line="252" w:lineRule="auto"/>
              <w:jc w:val="center"/>
            </w:pPr>
            <w:r>
              <w:rPr>
                <w:rFonts w:ascii="Calibri" w:hAnsi="Calibri" w:eastAsia="Microsoft YaHei"/>
                <w:b w:val="0"/>
                <w:color w:val="111111"/>
                <w:sz w:val="16"/>
              </w:rPr>
              <w:t>79.17%</w:t>
            </w:r>
          </w:p>
        </w:tc>
        <w:tc>
          <w:tcPr>
            <w:tcW w:type="dxa" w:w="135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val="clear" w:color="auto" w:fill="FFFFFF"/>
          </w:tcPr>
          <w:p>
            <w:pPr>
              <w:spacing w:before="0" w:after="0" w:line="252" w:lineRule="auto"/>
              <w:jc w:val="center"/>
            </w:pPr>
            <w:r>
              <w:rPr>
                <w:rFonts w:ascii="Calibri" w:hAnsi="Calibri" w:eastAsia="Microsoft YaHei"/>
                <w:b w:val="0"/>
                <w:color w:val="111111"/>
                <w:sz w:val="16"/>
              </w:rPr>
              <w:t>80.32%</w:t>
            </w:r>
          </w:p>
        </w:tc>
        <w:tc>
          <w:tcPr>
            <w:tcW w:type="dxa" w:w="123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val="clear" w:color="auto" w:fill="FFFFFF"/>
          </w:tcPr>
          <w:p>
            <w:pPr>
              <w:spacing w:before="0" w:after="0" w:line="252" w:lineRule="auto"/>
              <w:jc w:val="center"/>
            </w:pPr>
            <w:r>
              <w:rPr>
                <w:rFonts w:ascii="Calibri" w:hAnsi="Calibri" w:eastAsia="Microsoft YaHei"/>
                <w:b w:val="0"/>
                <w:color w:val="111111"/>
                <w:sz w:val="16"/>
              </w:rPr>
              <w:t>4.71</w:t>
            </w:r>
          </w:p>
        </w:tc>
        <w:tc>
          <w:tcPr>
            <w:tcW w:type="dxa" w:w="123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val="clear" w:color="auto" w:fill="FFFFFF"/>
          </w:tcPr>
          <w:p>
            <w:pPr>
              <w:spacing w:before="0" w:after="0" w:line="252" w:lineRule="auto"/>
              <w:jc w:val="center"/>
            </w:pPr>
            <w:r>
              <w:rPr>
                <w:rFonts w:ascii="Calibri" w:hAnsi="Calibri" w:eastAsia="Microsoft YaHei"/>
                <w:b w:val="0"/>
                <w:color w:val="111111"/>
                <w:sz w:val="16"/>
              </w:rPr>
              <w:t>7.08</w:t>
            </w:r>
          </w:p>
        </w:tc>
      </w:tr>
      <w:tr>
        <w:tc>
          <w:tcPr>
            <w:tcW w:type="dxa" w:w="150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val="clear" w:color="auto" w:fill="F3F3F3"/>
          </w:tcPr>
          <w:p>
            <w:pPr>
              <w:spacing w:before="0" w:after="0" w:line="252" w:lineRule="auto"/>
              <w:jc w:val="left"/>
            </w:pPr>
            <w:r>
              <w:rPr>
                <w:rFonts w:ascii="Calibri" w:hAnsi="Calibri" w:eastAsia="Microsoft YaHei"/>
                <w:b w:val="0"/>
                <w:color w:val="111111"/>
                <w:sz w:val="16"/>
              </w:rPr>
              <w:t>LoRA</w:t>
            </w:r>
          </w:p>
        </w:tc>
        <w:tc>
          <w:tcPr>
            <w:tcW w:type="dxa" w:w="115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val="clear" w:color="auto" w:fill="FFFFFF"/>
          </w:tcPr>
          <w:p>
            <w:pPr>
              <w:spacing w:before="0" w:after="0" w:line="252" w:lineRule="auto"/>
              <w:jc w:val="center"/>
            </w:pPr>
            <w:r>
              <w:rPr>
                <w:rFonts w:ascii="Calibri" w:hAnsi="Calibri" w:eastAsia="Microsoft YaHei"/>
                <w:b w:val="0"/>
                <w:color w:val="111111"/>
                <w:sz w:val="16"/>
              </w:rPr>
              <w:t>100%</w:t>
            </w:r>
          </w:p>
        </w:tc>
        <w:tc>
          <w:tcPr>
            <w:tcW w:type="dxa" w:w="145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val="clear" w:color="auto" w:fill="FFFFFF"/>
          </w:tcPr>
          <w:p>
            <w:pPr>
              <w:spacing w:before="0" w:after="0" w:line="252" w:lineRule="auto"/>
              <w:jc w:val="center"/>
            </w:pPr>
            <w:r>
              <w:rPr>
                <w:rFonts w:ascii="Calibri" w:hAnsi="Calibri" w:eastAsia="Microsoft YaHei"/>
                <w:b w:val="0"/>
                <w:color w:val="111111"/>
                <w:sz w:val="16"/>
              </w:rPr>
              <w:t>83.33%</w:t>
            </w:r>
          </w:p>
        </w:tc>
        <w:tc>
          <w:tcPr>
            <w:tcW w:type="dxa" w:w="145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val="clear" w:color="auto" w:fill="FFFFFF"/>
          </w:tcPr>
          <w:p>
            <w:pPr>
              <w:spacing w:before="0" w:after="0" w:line="252" w:lineRule="auto"/>
              <w:jc w:val="center"/>
            </w:pPr>
            <w:r>
              <w:rPr>
                <w:rFonts w:ascii="Calibri" w:hAnsi="Calibri" w:eastAsia="Microsoft YaHei"/>
                <w:b w:val="0"/>
                <w:color w:val="111111"/>
                <w:sz w:val="16"/>
              </w:rPr>
              <w:t>79.17%</w:t>
            </w:r>
          </w:p>
        </w:tc>
        <w:tc>
          <w:tcPr>
            <w:tcW w:type="dxa" w:w="135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val="clear" w:color="auto" w:fill="FFFFFF"/>
          </w:tcPr>
          <w:p>
            <w:pPr>
              <w:spacing w:before="0" w:after="0" w:line="252" w:lineRule="auto"/>
              <w:jc w:val="center"/>
            </w:pPr>
            <w:r>
              <w:rPr>
                <w:rFonts w:ascii="Calibri" w:hAnsi="Calibri" w:eastAsia="Microsoft YaHei"/>
                <w:b w:val="0"/>
                <w:color w:val="111111"/>
                <w:sz w:val="16"/>
              </w:rPr>
              <w:t>80.32%</w:t>
            </w:r>
          </w:p>
        </w:tc>
        <w:tc>
          <w:tcPr>
            <w:tcW w:type="dxa" w:w="123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val="clear" w:color="auto" w:fill="FFFFFF"/>
          </w:tcPr>
          <w:p>
            <w:pPr>
              <w:spacing w:before="0" w:after="0" w:line="252" w:lineRule="auto"/>
              <w:jc w:val="center"/>
            </w:pPr>
            <w:r>
              <w:rPr>
                <w:rFonts w:ascii="Calibri" w:hAnsi="Calibri" w:eastAsia="Microsoft YaHei"/>
                <w:b w:val="0"/>
                <w:color w:val="111111"/>
                <w:sz w:val="16"/>
              </w:rPr>
              <w:t>4.39</w:t>
            </w:r>
          </w:p>
        </w:tc>
        <w:tc>
          <w:tcPr>
            <w:tcW w:type="dxa" w:w="123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val="clear" w:color="auto" w:fill="FFFFFF"/>
          </w:tcPr>
          <w:p>
            <w:pPr>
              <w:spacing w:before="0" w:after="0" w:line="252" w:lineRule="auto"/>
              <w:jc w:val="center"/>
            </w:pPr>
            <w:r>
              <w:rPr>
                <w:rFonts w:ascii="Calibri" w:hAnsi="Calibri" w:eastAsia="Microsoft YaHei"/>
                <w:b w:val="0"/>
                <w:color w:val="111111"/>
                <w:sz w:val="16"/>
              </w:rPr>
              <w:t>6.92</w:t>
            </w:r>
          </w:p>
        </w:tc>
      </w:tr>
    </w:tbl>
    <w:p>
      <w:pPr>
        <w:spacing w:before="80" w:after="160"/>
        <w:jc w:val="center"/>
      </w:pPr>
      <w:r>
        <w:rPr>
          <w:rFonts w:ascii="Calibri" w:hAnsi="Calibri" w:eastAsia="Microsoft YaHei"/>
          <w:color w:val="666666"/>
          <w:sz w:val="18"/>
        </w:rPr>
        <w:t>表2  四种模型的统一口径结果</w:t>
      </w:r>
    </w:p>
    <w:p>
      <w:pPr>
        <w:spacing w:before="120" w:after="200" w:line="269" w:lineRule="auto"/>
        <w:ind w:left="200" w:right="200"/>
        <w:shd w:val="clear" w:fill="F3F3F3"/>
        <w:pBdr>
          <w:left w:val="single" w:sz="18" w:space="10" w:color="555555"/>
        </w:pBdr>
      </w:pPr>
      <w:r>
        <w:rPr>
          <w:rFonts w:ascii="Calibri" w:hAnsi="Calibri" w:eastAsia="Microsoft YaHei"/>
          <w:b/>
          <w:color w:val="111111"/>
          <w:sz w:val="21"/>
        </w:rPr>
        <w:t xml:space="preserve">结果解释  </w:t>
      </w:r>
      <w:r>
        <w:rPr>
          <w:rFonts w:ascii="Calibri" w:hAnsi="Calibri" w:eastAsia="Microsoft YaHei"/>
          <w:color w:val="111111"/>
          <w:sz w:val="21"/>
        </w:rPr>
        <w:t>QLoRA与LoRA均达到83.33%的健康等级准确率和80.32%的Macro F1，明显高于Baseline与Prompt。QLoRA更节省训练显存；LoRA的MAE与RMSE略低。</w:t>
      </w:r>
    </w:p>
    <w:p>
      <w:r>
        <w:br w:type="page"/>
      </w:r>
    </w:p>
    <w:p>
      <w:pPr>
        <w:spacing w:after="100"/>
        <w:jc w:val="left"/>
      </w:pPr>
      <w:r>
        <w:rPr>
          <w:rFonts w:ascii="Calibri" w:hAnsi="Calibri" w:eastAsia="Microsoft YaHei"/>
          <w:b/>
          <w:caps/>
          <w:color w:val="555555"/>
          <w:sz w:val="19"/>
        </w:rPr>
        <w:t>03 · COMPANY FORECAST</w:t>
      </w:r>
    </w:p>
    <w:p>
      <w:pPr>
        <w:pStyle w:val="Heading1"/>
        <w:keepNext/>
      </w:pPr>
      <w:r>
        <w:t>迪瑞医疗、华铭智能与汇金科技预测</w:t>
      </w:r>
    </w:p>
    <w:p>
      <w:pPr>
        <w:spacing w:after="120"/>
        <w:jc w:val="both"/>
      </w:pPr>
      <w:r>
        <w:rPr>
          <w:rFonts w:ascii="Calibri" w:hAnsi="Calibri" w:eastAsia="Microsoft YaHei"/>
          <w:color w:val="111111"/>
        </w:rPr>
        <w:t>2023至2025年为模型回溯评分，2026年为根据前三个年度点形成的趋势预测。图中用实线表示历史评分、虚线表示预测，并用浅色区间呈现预测范围。</w:t>
      </w:r>
    </w:p>
    <w:p>
      <w:pPr>
        <w:spacing w:before="40" w:after="0"/>
        <w:jc w:val="center"/>
      </w:pPr>
      <w:r>
        <w:drawing>
          <wp:inline xmlns:a="http://schemas.openxmlformats.org/drawingml/2006/main" xmlns:pic="http://schemas.openxmlformats.org/drawingml/2006/picture">
            <wp:extent cx="5623560" cy="2335252"/>
            <wp:docPr id="3" name="Picture 3" title="三家公司CFHS评分时间序列" descr="迪瑞医疗、华铭智能和汇金科技2023至2026年CFHS评分及2026预测区间的彩色三子图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mpanies_color.png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623560" cy="2335252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spacing w:before="80" w:after="160"/>
        <w:jc w:val="center"/>
      </w:pPr>
      <w:r>
        <w:rPr>
          <w:rFonts w:ascii="Calibri" w:hAnsi="Calibri" w:eastAsia="Microsoft YaHei"/>
          <w:color w:val="666666"/>
          <w:sz w:val="18"/>
        </w:rPr>
        <w:t>图3  三家公司CFHS评分时间序列与2026年预测</w:t>
      </w:r>
    </w:p>
    <w:tbl>
      <w:tblPr>
        <w:tblW w:type="dxa" w:w="9360"/>
        <w:jc w:val="left"/>
        <w:tblLayout w:type="fixed"/>
        <w:tblLook w:firstColumn="1" w:firstRow="1" w:lastColumn="0" w:lastRow="0" w:noHBand="0" w:noVBand="1" w:val="04A0"/>
        <w:tblInd w:w="120" w:type="dxa"/>
        <w:tblBorders>
          <w:top w:val="single" w:sz="6" w:space="0" w:color="C8C8C8"/>
          <w:left w:val="single" w:sz="6" w:space="0" w:color="C8C8C8"/>
          <w:bottom w:val="single" w:sz="6" w:space="0" w:color="C8C8C8"/>
          <w:right w:val="single" w:sz="6" w:space="0" w:color="C8C8C8"/>
          <w:insideH w:val="single" w:sz="6" w:space="0" w:color="C8C8C8"/>
          <w:insideV w:val="single" w:sz="6" w:space="0" w:color="C8C8C8"/>
        </w:tblBorders>
      </w:tblPr>
      <w:tblGrid>
        <w:gridCol w:w="2200"/>
        <w:gridCol w:w="850"/>
        <w:gridCol w:w="850"/>
        <w:gridCol w:w="850"/>
        <w:gridCol w:w="1050"/>
        <w:gridCol w:w="1550"/>
        <w:gridCol w:w="2010"/>
      </w:tblGrid>
      <w:tr>
        <w:trPr>
          <w:tblHeader w:val="true"/>
        </w:trPr>
        <w:tc>
          <w:tcPr>
            <w:tcW w:type="dxa" w:w="220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val="clear" w:color="auto" w:fill="E8E8E8"/>
          </w:tcPr>
          <w:p>
            <w:pPr>
              <w:spacing w:before="0" w:after="0" w:line="252" w:lineRule="auto"/>
              <w:jc w:val="center"/>
            </w:pPr>
            <w:r>
              <w:rPr>
                <w:rFonts w:ascii="Calibri" w:hAnsi="Calibri" w:eastAsia="Microsoft YaHei"/>
                <w:b/>
                <w:color w:val="111111"/>
                <w:sz w:val="16"/>
              </w:rPr>
              <w:t>企业</w:t>
            </w:r>
          </w:p>
        </w:tc>
        <w:tc>
          <w:tcPr>
            <w:tcW w:type="dxa" w:w="85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val="clear" w:color="auto" w:fill="E8E8E8"/>
          </w:tcPr>
          <w:p>
            <w:pPr>
              <w:spacing w:before="0" w:after="0" w:line="252" w:lineRule="auto"/>
              <w:jc w:val="center"/>
            </w:pPr>
            <w:r>
              <w:rPr>
                <w:rFonts w:ascii="Calibri" w:hAnsi="Calibri" w:eastAsia="Microsoft YaHei"/>
                <w:b/>
                <w:color w:val="111111"/>
                <w:sz w:val="16"/>
              </w:rPr>
              <w:t>2023</w:t>
            </w:r>
          </w:p>
        </w:tc>
        <w:tc>
          <w:tcPr>
            <w:tcW w:type="dxa" w:w="85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val="clear" w:color="auto" w:fill="E8E8E8"/>
          </w:tcPr>
          <w:p>
            <w:pPr>
              <w:spacing w:before="0" w:after="0" w:line="252" w:lineRule="auto"/>
              <w:jc w:val="center"/>
            </w:pPr>
            <w:r>
              <w:rPr>
                <w:rFonts w:ascii="Calibri" w:hAnsi="Calibri" w:eastAsia="Microsoft YaHei"/>
                <w:b/>
                <w:color w:val="111111"/>
                <w:sz w:val="16"/>
              </w:rPr>
              <w:t>2024</w:t>
            </w:r>
          </w:p>
        </w:tc>
        <w:tc>
          <w:tcPr>
            <w:tcW w:type="dxa" w:w="85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val="clear" w:color="auto" w:fill="E8E8E8"/>
          </w:tcPr>
          <w:p>
            <w:pPr>
              <w:spacing w:before="0" w:after="0" w:line="252" w:lineRule="auto"/>
              <w:jc w:val="center"/>
            </w:pPr>
            <w:r>
              <w:rPr>
                <w:rFonts w:ascii="Calibri" w:hAnsi="Calibri" w:eastAsia="Microsoft YaHei"/>
                <w:b/>
                <w:color w:val="111111"/>
                <w:sz w:val="16"/>
              </w:rPr>
              <w:t>2025</w:t>
            </w:r>
          </w:p>
        </w:tc>
        <w:tc>
          <w:tcPr>
            <w:tcW w:type="dxa" w:w="105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val="clear" w:color="auto" w:fill="E8E8E8"/>
          </w:tcPr>
          <w:p>
            <w:pPr>
              <w:spacing w:before="0" w:after="0" w:line="252" w:lineRule="auto"/>
              <w:jc w:val="center"/>
            </w:pPr>
            <w:r>
              <w:rPr>
                <w:rFonts w:ascii="Calibri" w:hAnsi="Calibri" w:eastAsia="Microsoft YaHei"/>
                <w:b/>
                <w:color w:val="111111"/>
                <w:sz w:val="16"/>
              </w:rPr>
              <w:t>2026预测</w:t>
            </w:r>
          </w:p>
        </w:tc>
        <w:tc>
          <w:tcPr>
            <w:tcW w:type="dxa" w:w="155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val="clear" w:color="auto" w:fill="E8E8E8"/>
          </w:tcPr>
          <w:p>
            <w:pPr>
              <w:spacing w:before="0" w:after="0" w:line="252" w:lineRule="auto"/>
              <w:jc w:val="center"/>
            </w:pPr>
            <w:r>
              <w:rPr>
                <w:rFonts w:ascii="Calibri" w:hAnsi="Calibri" w:eastAsia="Microsoft YaHei"/>
                <w:b/>
                <w:color w:val="111111"/>
                <w:sz w:val="16"/>
              </w:rPr>
              <w:t>2026区间</w:t>
            </w:r>
          </w:p>
        </w:tc>
        <w:tc>
          <w:tcPr>
            <w:tcW w:type="dxa" w:w="201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val="clear" w:color="auto" w:fill="E8E8E8"/>
          </w:tcPr>
          <w:p>
            <w:pPr>
              <w:spacing w:before="0" w:after="0" w:line="252" w:lineRule="auto"/>
              <w:jc w:val="center"/>
            </w:pPr>
            <w:r>
              <w:rPr>
                <w:rFonts w:ascii="Calibri" w:hAnsi="Calibri" w:eastAsia="Microsoft YaHei"/>
                <w:b/>
                <w:color w:val="111111"/>
                <w:sz w:val="16"/>
              </w:rPr>
              <w:t>趋势判断</w:t>
            </w:r>
          </w:p>
        </w:tc>
      </w:tr>
      <w:tr>
        <w:tc>
          <w:tcPr>
            <w:tcW w:type="dxa" w:w="220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val="clear" w:color="auto" w:fill="F3F3F3"/>
          </w:tcPr>
          <w:p>
            <w:pPr>
              <w:spacing w:before="0" w:after="0" w:line="252" w:lineRule="auto"/>
              <w:jc w:val="left"/>
            </w:pPr>
            <w:r>
              <w:rPr>
                <w:rFonts w:ascii="Calibri" w:hAnsi="Calibri" w:eastAsia="Microsoft YaHei"/>
                <w:b w:val="0"/>
                <w:color w:val="111111"/>
                <w:sz w:val="16"/>
              </w:rPr>
              <w:t>迪瑞医疗（300396）</w:t>
            </w:r>
          </w:p>
        </w:tc>
        <w:tc>
          <w:tcPr>
            <w:tcW w:type="dxa" w:w="85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val="clear" w:color="auto" w:fill="FFFFFF"/>
          </w:tcPr>
          <w:p>
            <w:pPr>
              <w:spacing w:before="0" w:after="0" w:line="252" w:lineRule="auto"/>
              <w:jc w:val="center"/>
            </w:pPr>
            <w:r>
              <w:rPr>
                <w:rFonts w:ascii="Calibri" w:hAnsi="Calibri" w:eastAsia="Microsoft YaHei"/>
                <w:b w:val="0"/>
                <w:color w:val="111111"/>
                <w:sz w:val="16"/>
              </w:rPr>
              <w:t>97.99</w:t>
            </w:r>
          </w:p>
        </w:tc>
        <w:tc>
          <w:tcPr>
            <w:tcW w:type="dxa" w:w="85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val="clear" w:color="auto" w:fill="FFFFFF"/>
          </w:tcPr>
          <w:p>
            <w:pPr>
              <w:spacing w:before="0" w:after="0" w:line="252" w:lineRule="auto"/>
              <w:jc w:val="center"/>
            </w:pPr>
            <w:r>
              <w:rPr>
                <w:rFonts w:ascii="Calibri" w:hAnsi="Calibri" w:eastAsia="Microsoft YaHei"/>
                <w:b w:val="0"/>
                <w:color w:val="111111"/>
                <w:sz w:val="16"/>
              </w:rPr>
              <w:t>70.00</w:t>
            </w:r>
          </w:p>
        </w:tc>
        <w:tc>
          <w:tcPr>
            <w:tcW w:type="dxa" w:w="85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val="clear" w:color="auto" w:fill="FFFFFF"/>
          </w:tcPr>
          <w:p>
            <w:pPr>
              <w:spacing w:before="0" w:after="0" w:line="252" w:lineRule="auto"/>
              <w:jc w:val="center"/>
            </w:pPr>
            <w:r>
              <w:rPr>
                <w:rFonts w:ascii="Calibri" w:hAnsi="Calibri" w:eastAsia="Microsoft YaHei"/>
                <w:b w:val="0"/>
                <w:color w:val="111111"/>
                <w:sz w:val="16"/>
              </w:rPr>
              <w:t>44.00</w:t>
            </w:r>
          </w:p>
        </w:tc>
        <w:tc>
          <w:tcPr>
            <w:tcW w:type="dxa" w:w="105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val="clear" w:color="auto" w:fill="FFFFFF"/>
          </w:tcPr>
          <w:p>
            <w:pPr>
              <w:spacing w:before="0" w:after="0" w:line="252" w:lineRule="auto"/>
              <w:jc w:val="center"/>
            </w:pPr>
            <w:r>
              <w:rPr>
                <w:rFonts w:ascii="Calibri" w:hAnsi="Calibri" w:eastAsia="Microsoft YaHei"/>
                <w:b w:val="0"/>
                <w:color w:val="111111"/>
                <w:sz w:val="16"/>
              </w:rPr>
              <w:t>16.67</w:t>
            </w:r>
          </w:p>
        </w:tc>
        <w:tc>
          <w:tcPr>
            <w:tcW w:type="dxa" w:w="155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val="clear" w:color="auto" w:fill="FFFFFF"/>
          </w:tcPr>
          <w:p>
            <w:pPr>
              <w:spacing w:before="0" w:after="0" w:line="252" w:lineRule="auto"/>
              <w:jc w:val="center"/>
            </w:pPr>
            <w:r>
              <w:rPr>
                <w:rFonts w:ascii="Calibri" w:hAnsi="Calibri" w:eastAsia="Microsoft YaHei"/>
                <w:b w:val="0"/>
                <w:color w:val="111111"/>
                <w:sz w:val="16"/>
              </w:rPr>
              <w:t>12.29—21.06</w:t>
            </w:r>
          </w:p>
        </w:tc>
        <w:tc>
          <w:tcPr>
            <w:tcW w:type="dxa" w:w="201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val="clear" w:color="auto" w:fill="FFFFFF"/>
          </w:tcPr>
          <w:p>
            <w:pPr>
              <w:spacing w:before="0" w:after="0" w:line="252" w:lineRule="auto"/>
              <w:jc w:val="left"/>
            </w:pPr>
            <w:r>
              <w:rPr>
                <w:rFonts w:ascii="Calibri" w:hAnsi="Calibri" w:eastAsia="Microsoft YaHei"/>
                <w:b w:val="0"/>
                <w:color w:val="111111"/>
                <w:sz w:val="16"/>
              </w:rPr>
              <w:t>持续下行，需优先复核</w:t>
            </w:r>
          </w:p>
        </w:tc>
      </w:tr>
      <w:tr>
        <w:tc>
          <w:tcPr>
            <w:tcW w:type="dxa" w:w="220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val="clear" w:color="auto" w:fill="F3F3F3"/>
          </w:tcPr>
          <w:p>
            <w:pPr>
              <w:spacing w:before="0" w:after="0" w:line="252" w:lineRule="auto"/>
              <w:jc w:val="left"/>
            </w:pPr>
            <w:r>
              <w:rPr>
                <w:rFonts w:ascii="Calibri" w:hAnsi="Calibri" w:eastAsia="Microsoft YaHei"/>
                <w:b w:val="0"/>
                <w:color w:val="111111"/>
                <w:sz w:val="16"/>
              </w:rPr>
              <w:t>华铭智能（300462）</w:t>
            </w:r>
          </w:p>
        </w:tc>
        <w:tc>
          <w:tcPr>
            <w:tcW w:type="dxa" w:w="85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val="clear" w:color="auto" w:fill="FFFFFF"/>
          </w:tcPr>
          <w:p>
            <w:pPr>
              <w:spacing w:before="0" w:after="0" w:line="252" w:lineRule="auto"/>
              <w:jc w:val="center"/>
            </w:pPr>
            <w:r>
              <w:rPr>
                <w:rFonts w:ascii="Calibri" w:hAnsi="Calibri" w:eastAsia="Microsoft YaHei"/>
                <w:b w:val="0"/>
                <w:color w:val="111111"/>
                <w:sz w:val="16"/>
              </w:rPr>
              <w:t>74.00</w:t>
            </w:r>
          </w:p>
        </w:tc>
        <w:tc>
          <w:tcPr>
            <w:tcW w:type="dxa" w:w="85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val="clear" w:color="auto" w:fill="FFFFFF"/>
          </w:tcPr>
          <w:p>
            <w:pPr>
              <w:spacing w:before="0" w:after="0" w:line="252" w:lineRule="auto"/>
              <w:jc w:val="center"/>
            </w:pPr>
            <w:r>
              <w:rPr>
                <w:rFonts w:ascii="Calibri" w:hAnsi="Calibri" w:eastAsia="Microsoft YaHei"/>
                <w:b w:val="0"/>
                <w:color w:val="111111"/>
                <w:sz w:val="16"/>
              </w:rPr>
              <w:t>84.00</w:t>
            </w:r>
          </w:p>
        </w:tc>
        <w:tc>
          <w:tcPr>
            <w:tcW w:type="dxa" w:w="85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val="clear" w:color="auto" w:fill="FFFFFF"/>
          </w:tcPr>
          <w:p>
            <w:pPr>
              <w:spacing w:before="0" w:after="0" w:line="252" w:lineRule="auto"/>
              <w:jc w:val="center"/>
            </w:pPr>
            <w:r>
              <w:rPr>
                <w:rFonts w:ascii="Calibri" w:hAnsi="Calibri" w:eastAsia="Microsoft YaHei"/>
                <w:b w:val="0"/>
                <w:color w:val="111111"/>
                <w:sz w:val="16"/>
              </w:rPr>
              <w:t>70.00</w:t>
            </w:r>
          </w:p>
        </w:tc>
        <w:tc>
          <w:tcPr>
            <w:tcW w:type="dxa" w:w="105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val="clear" w:color="auto" w:fill="FFFFFF"/>
          </w:tcPr>
          <w:p>
            <w:pPr>
              <w:spacing w:before="0" w:after="0" w:line="252" w:lineRule="auto"/>
              <w:jc w:val="center"/>
            </w:pPr>
            <w:r>
              <w:rPr>
                <w:rFonts w:ascii="Calibri" w:hAnsi="Calibri" w:eastAsia="Microsoft YaHei"/>
                <w:b w:val="0"/>
                <w:color w:val="111111"/>
                <w:sz w:val="16"/>
              </w:rPr>
              <w:t>72.00</w:t>
            </w:r>
          </w:p>
        </w:tc>
        <w:tc>
          <w:tcPr>
            <w:tcW w:type="dxa" w:w="155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val="clear" w:color="auto" w:fill="FFFFFF"/>
          </w:tcPr>
          <w:p>
            <w:pPr>
              <w:spacing w:before="0" w:after="0" w:line="252" w:lineRule="auto"/>
              <w:jc w:val="center"/>
            </w:pPr>
            <w:r>
              <w:rPr>
                <w:rFonts w:ascii="Calibri" w:hAnsi="Calibri" w:eastAsia="Microsoft YaHei"/>
                <w:b w:val="0"/>
                <w:color w:val="111111"/>
                <w:sz w:val="16"/>
              </w:rPr>
              <w:t>67.61—76.39</w:t>
            </w:r>
          </w:p>
        </w:tc>
        <w:tc>
          <w:tcPr>
            <w:tcW w:type="dxa" w:w="201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val="clear" w:color="auto" w:fill="FFFFFF"/>
          </w:tcPr>
          <w:p>
            <w:pPr>
              <w:spacing w:before="0" w:after="0" w:line="252" w:lineRule="auto"/>
              <w:jc w:val="left"/>
            </w:pPr>
            <w:r>
              <w:rPr>
                <w:rFonts w:ascii="Calibri" w:hAnsi="Calibri" w:eastAsia="Microsoft YaHei"/>
                <w:b w:val="0"/>
                <w:color w:val="111111"/>
                <w:sz w:val="16"/>
              </w:rPr>
              <w:t>总体稳定，维持关注</w:t>
            </w:r>
          </w:p>
        </w:tc>
      </w:tr>
      <w:tr>
        <w:tc>
          <w:tcPr>
            <w:tcW w:type="dxa" w:w="220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val="clear" w:color="auto" w:fill="F3F3F3"/>
          </w:tcPr>
          <w:p>
            <w:pPr>
              <w:spacing w:before="0" w:after="0" w:line="252" w:lineRule="auto"/>
              <w:jc w:val="left"/>
            </w:pPr>
            <w:r>
              <w:rPr>
                <w:rFonts w:ascii="Calibri" w:hAnsi="Calibri" w:eastAsia="Microsoft YaHei"/>
                <w:b w:val="0"/>
                <w:color w:val="111111"/>
                <w:sz w:val="16"/>
              </w:rPr>
              <w:t>汇金科技（300561）</w:t>
            </w:r>
          </w:p>
        </w:tc>
        <w:tc>
          <w:tcPr>
            <w:tcW w:type="dxa" w:w="85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val="clear" w:color="auto" w:fill="FFFFFF"/>
          </w:tcPr>
          <w:p>
            <w:pPr>
              <w:spacing w:before="0" w:after="0" w:line="252" w:lineRule="auto"/>
              <w:jc w:val="center"/>
            </w:pPr>
            <w:r>
              <w:rPr>
                <w:rFonts w:ascii="Calibri" w:hAnsi="Calibri" w:eastAsia="Microsoft YaHei"/>
                <w:b w:val="0"/>
                <w:color w:val="111111"/>
                <w:sz w:val="16"/>
              </w:rPr>
              <w:t>94.04</w:t>
            </w:r>
          </w:p>
        </w:tc>
        <w:tc>
          <w:tcPr>
            <w:tcW w:type="dxa" w:w="85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val="clear" w:color="auto" w:fill="FFFFFF"/>
          </w:tcPr>
          <w:p>
            <w:pPr>
              <w:spacing w:before="0" w:after="0" w:line="252" w:lineRule="auto"/>
              <w:jc w:val="center"/>
            </w:pPr>
            <w:r>
              <w:rPr>
                <w:rFonts w:ascii="Calibri" w:hAnsi="Calibri" w:eastAsia="Microsoft YaHei"/>
                <w:b w:val="0"/>
                <w:color w:val="111111"/>
                <w:sz w:val="16"/>
              </w:rPr>
              <w:t>70.00</w:t>
            </w:r>
          </w:p>
        </w:tc>
        <w:tc>
          <w:tcPr>
            <w:tcW w:type="dxa" w:w="85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val="clear" w:color="auto" w:fill="FFFFFF"/>
          </w:tcPr>
          <w:p>
            <w:pPr>
              <w:spacing w:before="0" w:after="0" w:line="252" w:lineRule="auto"/>
              <w:jc w:val="center"/>
            </w:pPr>
            <w:r>
              <w:rPr>
                <w:rFonts w:ascii="Calibri" w:hAnsi="Calibri" w:eastAsia="Microsoft YaHei"/>
                <w:b w:val="0"/>
                <w:color w:val="111111"/>
                <w:sz w:val="16"/>
              </w:rPr>
              <w:t>70.00</w:t>
            </w:r>
          </w:p>
        </w:tc>
        <w:tc>
          <w:tcPr>
            <w:tcW w:type="dxa" w:w="105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val="clear" w:color="auto" w:fill="FFFFFF"/>
          </w:tcPr>
          <w:p>
            <w:pPr>
              <w:spacing w:before="0" w:after="0" w:line="252" w:lineRule="auto"/>
              <w:jc w:val="center"/>
            </w:pPr>
            <w:r>
              <w:rPr>
                <w:rFonts w:ascii="Calibri" w:hAnsi="Calibri" w:eastAsia="Microsoft YaHei"/>
                <w:b w:val="0"/>
                <w:color w:val="111111"/>
                <w:sz w:val="16"/>
              </w:rPr>
              <w:t>53.97</w:t>
            </w:r>
          </w:p>
        </w:tc>
        <w:tc>
          <w:tcPr>
            <w:tcW w:type="dxa" w:w="155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val="clear" w:color="auto" w:fill="FFFFFF"/>
          </w:tcPr>
          <w:p>
            <w:pPr>
              <w:spacing w:before="0" w:after="0" w:line="252" w:lineRule="auto"/>
              <w:jc w:val="center"/>
            </w:pPr>
            <w:r>
              <w:rPr>
                <w:rFonts w:ascii="Calibri" w:hAnsi="Calibri" w:eastAsia="Microsoft YaHei"/>
                <w:b w:val="0"/>
                <w:color w:val="111111"/>
                <w:sz w:val="16"/>
              </w:rPr>
              <w:t>49.59—58.36</w:t>
            </w:r>
          </w:p>
        </w:tc>
        <w:tc>
          <w:tcPr>
            <w:tcW w:type="dxa" w:w="201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val="clear" w:color="auto" w:fill="FFFFFF"/>
          </w:tcPr>
          <w:p>
            <w:pPr>
              <w:spacing w:before="0" w:after="0" w:line="252" w:lineRule="auto"/>
              <w:jc w:val="left"/>
            </w:pPr>
            <w:r>
              <w:rPr>
                <w:rFonts w:ascii="Calibri" w:hAnsi="Calibri" w:eastAsia="Microsoft YaHei"/>
                <w:b w:val="0"/>
                <w:color w:val="111111"/>
                <w:sz w:val="16"/>
              </w:rPr>
              <w:t>趋势转弱，建议跟踪</w:t>
            </w:r>
          </w:p>
        </w:tc>
      </w:tr>
    </w:tbl>
    <w:p>
      <w:pPr>
        <w:spacing w:before="80" w:after="160"/>
        <w:jc w:val="center"/>
      </w:pPr>
      <w:r>
        <w:rPr>
          <w:rFonts w:ascii="Calibri" w:hAnsi="Calibri" w:eastAsia="Microsoft YaHei"/>
          <w:color w:val="666666"/>
          <w:sz w:val="18"/>
        </w:rPr>
        <w:t>表3  三家公司CFHS评分与趋势判断</w:t>
      </w:r>
    </w:p>
    <w:p>
      <w:pPr>
        <w:spacing w:before="120" w:after="200" w:line="269" w:lineRule="auto"/>
        <w:ind w:left="200" w:right="200"/>
        <w:shd w:val="clear" w:fill="F3F3F3"/>
        <w:pBdr>
          <w:left w:val="single" w:sz="18" w:space="10" w:color="555555"/>
        </w:pBdr>
      </w:pPr>
      <w:r>
        <w:rPr>
          <w:rFonts w:ascii="Calibri" w:hAnsi="Calibri" w:eastAsia="Microsoft YaHei"/>
          <w:b/>
          <w:color w:val="111111"/>
          <w:sz w:val="21"/>
        </w:rPr>
        <w:t xml:space="preserve">使用说明  </w:t>
      </w:r>
      <w:r>
        <w:rPr>
          <w:rFonts w:ascii="Calibri" w:hAnsi="Calibri" w:eastAsia="Microsoft YaHei"/>
          <w:color w:val="111111"/>
          <w:sz w:val="21"/>
        </w:rPr>
        <w:t>迪瑞医疗的预测降幅最大，应优先复核；华铭智能整体较稳定；汇金科技呈转弱趋势。预测结果用于趋势预警和复核排序，不单独替代审计、授信或投资判断。</w:t>
      </w:r>
    </w:p>
    <w:sectPr w:rsidR="00FC693F" w:rsidRPr="0006063C" w:rsidSect="00034616">
      <w:headerReference w:type="default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08" w:footer="708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spacing w:before="0"/>
      <w:jc w:val="right"/>
    </w:pPr>
    <w:r>
      <w:rPr>
        <w:rFonts w:ascii="Calibri" w:hAnsi="Calibri" w:eastAsia="Microsoft YaHei"/>
        <w:color w:val="666666"/>
        <w:sz w:val="17"/>
      </w:rPr>
      <w:t xml:space="preserve">20260808 交付  ·  </w:t>
    </w:r>
    <w:r>
      <w:rPr>
        <w:rFonts w:ascii="Calibri" w:hAnsi="Calibri" w:eastAsia="Microsoft YaHei"/>
        <w:color w:val="666666"/>
        <w:sz w:val="17"/>
      </w:rPr>
      <w:fldChar w:fldCharType="begin"/>
      <w:instrText xml:space="preserve">PAGE</w:instrText>
      <w:fldChar w:fldCharType="separate"/>
      <w:t>1</w:t>
      <w:fldChar w:fldCharType="end"/>
    </w:r>
  </w:p>
</w:ftr>
</file>

<file path=word/footer2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</w:pP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  <w:jc w:val="left"/>
    </w:pPr>
    <w:r>
      <w:rPr>
        <w:rFonts w:ascii="Calibri" w:hAnsi="Calibri" w:eastAsia="Microsoft YaHei"/>
        <w:b/>
        <w:color w:val="666666"/>
        <w:sz w:val="17"/>
      </w:rPr>
      <w:t>CFHS 模型结果说明</w:t>
    </w:r>
  </w:p>
</w:hdr>
</file>

<file path=word/header2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</w:pP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before="0" w:after="120" w:line="264" w:lineRule="auto"/>
    </w:pPr>
    <w:rPr>
      <w:rFonts w:ascii="Calibri" w:hAnsi="Calibri" w:eastAsia="Microsoft YaHei"/>
      <w:color w:val="111111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320" w:after="160"/>
      <w:outlineLvl w:val="0"/>
    </w:pPr>
    <w:rPr>
      <w:rFonts w:asciiTheme="majorHAnsi" w:eastAsiaTheme="majorEastAsia" w:hAnsiTheme="majorHAnsi" w:cstheme="majorBidi" w:ascii="Calibri" w:hAnsi="Calibri" w:eastAsia="Microsoft YaHei"/>
      <w:b/>
      <w:bCs/>
      <w:color w:val="111111"/>
      <w:sz w:val="32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40" w:after="120"/>
      <w:outlineLvl w:val="1"/>
    </w:pPr>
    <w:rPr>
      <w:rFonts w:asciiTheme="majorHAnsi" w:eastAsiaTheme="majorEastAsia" w:hAnsiTheme="majorHAnsi" w:cstheme="majorBidi" w:ascii="Calibri" w:hAnsi="Calibri" w:eastAsia="Microsoft YaHei"/>
      <w:b/>
      <w:bCs/>
      <w:color w:val="11111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 w:ascii="Calibri" w:hAnsi="Calibri" w:eastAsia="Microsoft YaHei"/>
      <w:b/>
      <w:bCs/>
      <w:color w:val="333333"/>
      <w:sz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CFHSBullet">
    <w:name w:val="CFHS Bullet"/>
    <w:basedOn w:val="Normal"/>
    <w:pPr>
      <w:numPr>
        <w:ilvl w:val="0"/>
        <w:numId w:val="1"/>
      </w:numPr>
      <w:spacing w:after="160" w:line="280" w:lineRule="auto"/>
      <w:ind w:left="720" w:hanging="360"/>
    </w:pPr>
  </w:style>
  <w:style w:type="paragraph" w:customStyle="1" w:styleId="CFHSNumber">
    <w:name w:val="CFHS Number"/>
    <w:basedOn w:val="Normal"/>
    <w:pPr>
      <w:numPr>
        <w:ilvl w:val="0"/>
        <w:numId w:val="5"/>
      </w:numPr>
      <w:spacing w:after="160" w:line="280" w:lineRule="auto"/>
      <w:ind w:left="720" w:hanging="360"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Relationship Id="rId11" Type="http://schemas.openxmlformats.org/officeDocument/2006/relationships/header" Target="header2.xml"/><Relationship Id="rId12" Type="http://schemas.openxmlformats.org/officeDocument/2006/relationships/footer" Target="footer2.xml"/><Relationship Id="rId13" Type="http://schemas.openxmlformats.org/officeDocument/2006/relationships/image" Target="media/image1.png"/><Relationship Id="rId14" Type="http://schemas.openxmlformats.org/officeDocument/2006/relationships/image" Target="media/image2.png"/><Relationship Id="rId15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CFHS模型结果说明</dc:title>
  <dc:subject>金融智能体、四模型比较与三家公司预测</dc:subject>
  <dc:creator>CFHS项目组</dc:creator>
  <cp:keywords>CFHS, QLoRA, LoRA, FinRobot, Dexter, TradingAgents, 企业预测</cp:keywords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